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A1FB6" w14:textId="77777777" w:rsidR="00DE7E58" w:rsidRDefault="00B97675">
      <w:r>
        <w:rPr>
          <w:noProof/>
          <w:lang w:eastAsia="en-GB"/>
        </w:rPr>
        <w:object w:dxaOrig="1440" w:dyaOrig="1440" w14:anchorId="69BC6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3pt;margin-top:-28pt;width:258.4pt;height:61pt;z-index:251633152">
            <v:imagedata r:id="rId11" o:title=""/>
            <w10:wrap type="square"/>
          </v:shape>
          <o:OLEObject Type="Embed" ProgID="MSPhotoEd.3" ShapeID="_x0000_s1026" DrawAspect="Content" ObjectID="_1772532373" r:id="rId12"/>
        </w:object>
      </w:r>
    </w:p>
    <w:p w14:paraId="48EF53D2" w14:textId="77777777" w:rsidR="00DE7E58" w:rsidRDefault="00DE7E58"/>
    <w:p w14:paraId="206F7CCD" w14:textId="77777777" w:rsidR="00DE7E58" w:rsidRDefault="00DE7E58"/>
    <w:p w14:paraId="70139252" w14:textId="77777777" w:rsidR="00DE7E58" w:rsidRDefault="00DE7E58"/>
    <w:p w14:paraId="39E1496D" w14:textId="77777777" w:rsidR="00DE7E58" w:rsidRDefault="00DE7E58"/>
    <w:p w14:paraId="12CABB55" w14:textId="77777777" w:rsidR="00DE7E58" w:rsidRDefault="00DE7E58"/>
    <w:p w14:paraId="06817277" w14:textId="77777777" w:rsidR="0009222C" w:rsidRDefault="0009222C" w:rsidP="00F665B3">
      <w:pPr>
        <w:pStyle w:val="BodyText"/>
        <w:rPr>
          <w:sz w:val="120"/>
          <w:szCs w:val="120"/>
        </w:rPr>
      </w:pPr>
    </w:p>
    <w:p w14:paraId="2F10F6C1" w14:textId="77777777" w:rsidR="00DE7E58" w:rsidRDefault="00C921EB" w:rsidP="00F665B3">
      <w:pPr>
        <w:pStyle w:val="BodyText"/>
        <w:rPr>
          <w:sz w:val="120"/>
          <w:szCs w:val="120"/>
        </w:rPr>
      </w:pPr>
      <w:r>
        <w:rPr>
          <w:sz w:val="120"/>
          <w:szCs w:val="120"/>
        </w:rPr>
        <w:t>Teacher Appraisal</w:t>
      </w:r>
    </w:p>
    <w:p w14:paraId="38D71471" w14:textId="77777777" w:rsidR="00C921EB" w:rsidRDefault="00C921EB" w:rsidP="00F665B3">
      <w:pPr>
        <w:pStyle w:val="BodyText"/>
        <w:rPr>
          <w:sz w:val="120"/>
          <w:szCs w:val="120"/>
        </w:rPr>
      </w:pPr>
    </w:p>
    <w:p w14:paraId="2E381416" w14:textId="77777777" w:rsidR="00C921EB" w:rsidRDefault="00C921EB" w:rsidP="0009222C">
      <w:pPr>
        <w:pStyle w:val="BodyText"/>
        <w:jc w:val="left"/>
        <w:rPr>
          <w:sz w:val="120"/>
          <w:szCs w:val="120"/>
        </w:rPr>
      </w:pPr>
    </w:p>
    <w:p w14:paraId="38674C16" w14:textId="77777777" w:rsidR="0009222C" w:rsidRDefault="0009222C" w:rsidP="0009222C">
      <w:pPr>
        <w:pStyle w:val="BodyText"/>
        <w:jc w:val="left"/>
        <w:rPr>
          <w:sz w:val="120"/>
          <w:szCs w:val="120"/>
        </w:rPr>
      </w:pPr>
    </w:p>
    <w:tbl>
      <w:tblPr>
        <w:tblStyle w:val="TableGrid"/>
        <w:tblW w:w="0" w:type="auto"/>
        <w:tblLook w:val="04A0" w:firstRow="1" w:lastRow="0" w:firstColumn="1" w:lastColumn="0" w:noHBand="0" w:noVBand="1"/>
      </w:tblPr>
      <w:tblGrid>
        <w:gridCol w:w="3157"/>
        <w:gridCol w:w="5859"/>
      </w:tblGrid>
      <w:tr w:rsidR="0009222C" w14:paraId="44019957" w14:textId="77777777" w:rsidTr="0009222C">
        <w:tc>
          <w:tcPr>
            <w:tcW w:w="3227" w:type="dxa"/>
          </w:tcPr>
          <w:p w14:paraId="6DDEB564" w14:textId="77777777" w:rsidR="0009222C" w:rsidRPr="0009222C" w:rsidRDefault="0009222C" w:rsidP="0009222C">
            <w:pPr>
              <w:pStyle w:val="BodyText"/>
              <w:jc w:val="left"/>
              <w:rPr>
                <w:sz w:val="24"/>
                <w:szCs w:val="24"/>
              </w:rPr>
            </w:pPr>
            <w:r w:rsidRPr="0009222C">
              <w:rPr>
                <w:color w:val="auto"/>
                <w:sz w:val="24"/>
                <w:szCs w:val="24"/>
              </w:rPr>
              <w:t>Produced by</w:t>
            </w:r>
          </w:p>
        </w:tc>
        <w:tc>
          <w:tcPr>
            <w:tcW w:w="6015" w:type="dxa"/>
          </w:tcPr>
          <w:p w14:paraId="13E1AF86" w14:textId="77777777" w:rsidR="0009222C" w:rsidRPr="00161A2F" w:rsidRDefault="0009222C" w:rsidP="0009222C">
            <w:pPr>
              <w:jc w:val="right"/>
            </w:pPr>
            <w:r w:rsidRPr="00161A2F">
              <w:t>People and Organisational Development Services,</w:t>
            </w:r>
          </w:p>
          <w:p w14:paraId="54175443" w14:textId="77777777" w:rsidR="0009222C" w:rsidRDefault="0009222C" w:rsidP="0009222C">
            <w:pPr>
              <w:pStyle w:val="BodyText"/>
              <w:rPr>
                <w:b w:val="0"/>
                <w:color w:val="auto"/>
                <w:sz w:val="24"/>
                <w:szCs w:val="24"/>
              </w:rPr>
            </w:pPr>
            <w:r w:rsidRPr="0009222C">
              <w:rPr>
                <w:b w:val="0"/>
                <w:color w:val="auto"/>
                <w:sz w:val="24"/>
                <w:szCs w:val="24"/>
              </w:rPr>
              <w:t>Corporate Support Services</w:t>
            </w:r>
            <w:r>
              <w:rPr>
                <w:b w:val="0"/>
                <w:color w:val="auto"/>
                <w:sz w:val="24"/>
                <w:szCs w:val="24"/>
              </w:rPr>
              <w:t xml:space="preserve"> </w:t>
            </w:r>
            <w:r w:rsidRPr="0009222C">
              <w:rPr>
                <w:b w:val="0"/>
                <w:color w:val="auto"/>
                <w:sz w:val="24"/>
                <w:szCs w:val="24"/>
              </w:rPr>
              <w:t>Directorate</w:t>
            </w:r>
          </w:p>
          <w:p w14:paraId="1E086B1A" w14:textId="77777777" w:rsidR="0009222C" w:rsidRDefault="0009222C" w:rsidP="0009222C">
            <w:pPr>
              <w:pStyle w:val="BodyText"/>
              <w:rPr>
                <w:sz w:val="48"/>
                <w:szCs w:val="48"/>
              </w:rPr>
            </w:pPr>
            <w:r>
              <w:rPr>
                <w:b w:val="0"/>
                <w:color w:val="auto"/>
                <w:sz w:val="24"/>
                <w:szCs w:val="24"/>
              </w:rPr>
              <w:t>and the Department for Education</w:t>
            </w:r>
          </w:p>
        </w:tc>
      </w:tr>
      <w:tr w:rsidR="0009222C" w14:paraId="765CADA4" w14:textId="77777777" w:rsidTr="0009222C">
        <w:tc>
          <w:tcPr>
            <w:tcW w:w="3227" w:type="dxa"/>
          </w:tcPr>
          <w:p w14:paraId="0C6470BB" w14:textId="77777777" w:rsidR="0009222C" w:rsidRPr="00161A2F" w:rsidRDefault="0009222C" w:rsidP="0009222C">
            <w:pPr>
              <w:rPr>
                <w:b/>
              </w:rPr>
            </w:pPr>
            <w:r w:rsidRPr="00161A2F">
              <w:rPr>
                <w:b/>
              </w:rPr>
              <w:t>Date approved and agreed</w:t>
            </w:r>
          </w:p>
        </w:tc>
        <w:tc>
          <w:tcPr>
            <w:tcW w:w="6015" w:type="dxa"/>
          </w:tcPr>
          <w:p w14:paraId="04456C69" w14:textId="77777777" w:rsidR="0009222C" w:rsidRDefault="0009222C" w:rsidP="0009222C">
            <w:pPr>
              <w:pStyle w:val="BodyText"/>
              <w:rPr>
                <w:sz w:val="48"/>
                <w:szCs w:val="48"/>
              </w:rPr>
            </w:pPr>
          </w:p>
        </w:tc>
      </w:tr>
      <w:tr w:rsidR="0009222C" w14:paraId="4D2D230D" w14:textId="77777777" w:rsidTr="0009222C">
        <w:tc>
          <w:tcPr>
            <w:tcW w:w="3227" w:type="dxa"/>
          </w:tcPr>
          <w:p w14:paraId="5C7E60F1" w14:textId="77777777" w:rsidR="0009222C" w:rsidRPr="0009222C" w:rsidRDefault="0009222C" w:rsidP="0009222C">
            <w:pPr>
              <w:pStyle w:val="BodyText"/>
              <w:jc w:val="left"/>
              <w:rPr>
                <w:sz w:val="24"/>
                <w:szCs w:val="24"/>
              </w:rPr>
            </w:pPr>
            <w:r w:rsidRPr="0009222C">
              <w:rPr>
                <w:color w:val="auto"/>
                <w:sz w:val="24"/>
                <w:szCs w:val="24"/>
              </w:rPr>
              <w:t>Review Date</w:t>
            </w:r>
          </w:p>
        </w:tc>
        <w:tc>
          <w:tcPr>
            <w:tcW w:w="6015" w:type="dxa"/>
          </w:tcPr>
          <w:p w14:paraId="7759DAD5" w14:textId="77777777" w:rsidR="0009222C" w:rsidRDefault="0009222C" w:rsidP="0009222C">
            <w:pPr>
              <w:pStyle w:val="BodyText"/>
              <w:rPr>
                <w:sz w:val="48"/>
                <w:szCs w:val="48"/>
              </w:rPr>
            </w:pPr>
          </w:p>
        </w:tc>
      </w:tr>
      <w:tr w:rsidR="0009222C" w14:paraId="65BD164F" w14:textId="77777777" w:rsidTr="0009222C">
        <w:tc>
          <w:tcPr>
            <w:tcW w:w="3227" w:type="dxa"/>
          </w:tcPr>
          <w:p w14:paraId="57A6855C" w14:textId="77777777" w:rsidR="0009222C" w:rsidRPr="0009222C" w:rsidRDefault="0009222C" w:rsidP="0009222C">
            <w:pPr>
              <w:pStyle w:val="BodyText"/>
              <w:jc w:val="left"/>
              <w:rPr>
                <w:sz w:val="24"/>
                <w:szCs w:val="24"/>
              </w:rPr>
            </w:pPr>
            <w:r w:rsidRPr="0009222C">
              <w:rPr>
                <w:color w:val="auto"/>
                <w:sz w:val="24"/>
                <w:szCs w:val="24"/>
              </w:rPr>
              <w:t>Date Amended</w:t>
            </w:r>
          </w:p>
        </w:tc>
        <w:tc>
          <w:tcPr>
            <w:tcW w:w="6015" w:type="dxa"/>
          </w:tcPr>
          <w:p w14:paraId="2A56F9E2" w14:textId="77777777" w:rsidR="0009222C" w:rsidRDefault="0009222C" w:rsidP="0009222C">
            <w:pPr>
              <w:pStyle w:val="BodyText"/>
              <w:rPr>
                <w:sz w:val="48"/>
                <w:szCs w:val="48"/>
              </w:rPr>
            </w:pPr>
          </w:p>
        </w:tc>
      </w:tr>
    </w:tbl>
    <w:tbl>
      <w:tblPr>
        <w:tblW w:w="0" w:type="auto"/>
        <w:tblCellMar>
          <w:top w:w="85" w:type="dxa"/>
          <w:bottom w:w="85" w:type="dxa"/>
        </w:tblCellMar>
        <w:tblLook w:val="04A0" w:firstRow="1" w:lastRow="0" w:firstColumn="1" w:lastColumn="0" w:noHBand="0" w:noVBand="1"/>
      </w:tblPr>
      <w:tblGrid>
        <w:gridCol w:w="3153"/>
        <w:gridCol w:w="5873"/>
      </w:tblGrid>
      <w:tr w:rsidR="00DE7E58" w:rsidRPr="00161A2F" w14:paraId="1097C713" w14:textId="77777777" w:rsidTr="00313F82">
        <w:tc>
          <w:tcPr>
            <w:tcW w:w="3227" w:type="dxa"/>
          </w:tcPr>
          <w:p w14:paraId="220DD248" w14:textId="77777777" w:rsidR="00DE7E58" w:rsidRPr="00161A2F" w:rsidRDefault="00DE7E58" w:rsidP="00313F82">
            <w:pPr>
              <w:rPr>
                <w:b/>
              </w:rPr>
            </w:pPr>
          </w:p>
        </w:tc>
        <w:tc>
          <w:tcPr>
            <w:tcW w:w="6015" w:type="dxa"/>
          </w:tcPr>
          <w:p w14:paraId="0748D81F" w14:textId="77777777" w:rsidR="00DE7E58" w:rsidRPr="00161A2F" w:rsidRDefault="00DE7E58" w:rsidP="00B65F21">
            <w:pPr>
              <w:jc w:val="right"/>
            </w:pPr>
          </w:p>
        </w:tc>
      </w:tr>
    </w:tbl>
    <w:p w14:paraId="29BCE504" w14:textId="77777777" w:rsidR="00DE7E58" w:rsidRDefault="00DE7E58" w:rsidP="00E375F5">
      <w:pPr>
        <w:jc w:val="right"/>
      </w:pPr>
    </w:p>
    <w:p w14:paraId="4EAA9E5F" w14:textId="77777777" w:rsidR="00DE7E58" w:rsidRDefault="00DE7E58" w:rsidP="00E375F5">
      <w:pPr>
        <w:jc w:val="right"/>
      </w:pPr>
      <w:r>
        <w:t>If you need this document in a different format please telephone</w:t>
      </w:r>
    </w:p>
    <w:p w14:paraId="028A8D24" w14:textId="77777777" w:rsidR="00DE7E58" w:rsidRDefault="00DE7E58" w:rsidP="00E375F5">
      <w:pPr>
        <w:jc w:val="right"/>
        <w:sectPr w:rsidR="00DE7E58" w:rsidSect="00E375F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t>0161 474 4777 (internal 4777)</w:t>
      </w:r>
    </w:p>
    <w:p w14:paraId="18553D67" w14:textId="77777777" w:rsidR="00961DF7" w:rsidRDefault="00961DF7" w:rsidP="00961DF7">
      <w:pPr>
        <w:pStyle w:val="TOCHeading"/>
        <w:rPr>
          <w:rFonts w:ascii="Arial Unicode MS" w:eastAsia="Arial Unicode MS" w:hAnsi="Arial Unicode MS" w:cs="Arial Unicode MS"/>
          <w:color w:val="006666"/>
          <w:sz w:val="32"/>
        </w:rPr>
      </w:pPr>
      <w:bookmarkStart w:id="0" w:name="_Toc467593349"/>
      <w:r>
        <w:rPr>
          <w:rFonts w:ascii="Arial Unicode MS" w:eastAsia="Arial Unicode MS" w:hAnsi="Arial Unicode MS" w:cs="Arial Unicode MS"/>
          <w:color w:val="006666"/>
          <w:sz w:val="32"/>
        </w:rPr>
        <w:lastRenderedPageBreak/>
        <w:t>Contents</w:t>
      </w:r>
      <w:r w:rsidRPr="000457B7">
        <w:rPr>
          <w:rFonts w:ascii="Arial Unicode MS" w:eastAsia="Arial Unicode MS" w:hAnsi="Arial Unicode MS" w:cs="Arial Unicode MS"/>
          <w:color w:val="006666"/>
          <w:sz w:val="32"/>
        </w:rPr>
        <w:t xml:space="preserve"> </w:t>
      </w:r>
    </w:p>
    <w:p w14:paraId="1921490D" w14:textId="77777777" w:rsidR="00596F91" w:rsidRDefault="00596F91" w:rsidP="00596F91">
      <w:pPr>
        <w:rPr>
          <w:lang w:val="en-US" w:eastAsia="ja-JP"/>
        </w:rPr>
      </w:pPr>
    </w:p>
    <w:p w14:paraId="2CFC3DC8" w14:textId="77777777" w:rsidR="00596F91" w:rsidRPr="00596F91" w:rsidRDefault="00596F91" w:rsidP="00596F91">
      <w:pPr>
        <w:rPr>
          <w:lang w:val="en-US" w:eastAsia="ja-JP"/>
        </w:rPr>
      </w:pPr>
    </w:p>
    <w:p w14:paraId="63DAF520" w14:textId="77777777" w:rsidR="00961DF7" w:rsidRPr="005B63F8" w:rsidRDefault="00961DF7" w:rsidP="005B63F8">
      <w:pPr>
        <w:pStyle w:val="ListParagraph"/>
        <w:numPr>
          <w:ilvl w:val="0"/>
          <w:numId w:val="5"/>
        </w:numPr>
        <w:spacing w:after="240" w:line="288" w:lineRule="auto"/>
        <w:rPr>
          <w:rFonts w:cs="Times New Roman"/>
          <w:lang w:eastAsia="en-GB"/>
        </w:rPr>
      </w:pPr>
      <w:r w:rsidRPr="005B63F8">
        <w:rPr>
          <w:rFonts w:cs="Times New Roman"/>
          <w:lang w:eastAsia="en-GB"/>
        </w:rPr>
        <w:t>Introduction</w:t>
      </w:r>
      <w:r w:rsidRPr="005B63F8">
        <w:rPr>
          <w:rFonts w:cs="Times New Roman"/>
          <w:lang w:eastAsia="en-GB"/>
        </w:rPr>
        <w:tab/>
      </w:r>
      <w:r w:rsidR="00B0178D">
        <w:rPr>
          <w:rFonts w:cs="Times New Roman"/>
          <w:lang w:eastAsia="en-GB"/>
        </w:rPr>
        <w:t xml:space="preserve">   </w:t>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00B0178D">
        <w:rPr>
          <w:rFonts w:cs="Times New Roman"/>
          <w:lang w:eastAsia="en-GB"/>
        </w:rPr>
        <w:tab/>
      </w:r>
      <w:r w:rsidR="00FA5EF1" w:rsidRPr="005B63F8">
        <w:rPr>
          <w:rFonts w:cs="Times New Roman"/>
          <w:lang w:eastAsia="en-GB"/>
        </w:rPr>
        <w:t>4</w:t>
      </w:r>
    </w:p>
    <w:p w14:paraId="61FAB3CD" w14:textId="77777777" w:rsidR="005B63F8" w:rsidRPr="005B63F8" w:rsidRDefault="005B63F8" w:rsidP="005B63F8">
      <w:pPr>
        <w:pStyle w:val="ListParagraph"/>
        <w:spacing w:after="240" w:line="288" w:lineRule="auto"/>
        <w:ind w:left="1080"/>
        <w:rPr>
          <w:rFonts w:cs="Times New Roman"/>
          <w:lang w:eastAsia="en-GB"/>
        </w:rPr>
      </w:pPr>
    </w:p>
    <w:p w14:paraId="69D09DE1" w14:textId="77777777" w:rsidR="005B63F8" w:rsidRDefault="00961DF7" w:rsidP="005B63F8">
      <w:pPr>
        <w:pStyle w:val="ListParagraph"/>
        <w:numPr>
          <w:ilvl w:val="0"/>
          <w:numId w:val="5"/>
        </w:numPr>
        <w:spacing w:after="240" w:line="288" w:lineRule="auto"/>
        <w:rPr>
          <w:rFonts w:cs="Times New Roman"/>
          <w:lang w:eastAsia="en-GB"/>
        </w:rPr>
      </w:pPr>
      <w:r w:rsidRPr="005B63F8">
        <w:rPr>
          <w:rFonts w:cs="Times New Roman"/>
          <w:lang w:eastAsia="en-GB"/>
        </w:rPr>
        <w:t>Model policy for appraising teacher performance</w:t>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0178D">
        <w:rPr>
          <w:rFonts w:cs="Times New Roman"/>
          <w:lang w:eastAsia="en-GB"/>
        </w:rPr>
        <w:tab/>
      </w:r>
      <w:r w:rsidR="00BA1E1C">
        <w:rPr>
          <w:rFonts w:cs="Times New Roman"/>
          <w:lang w:eastAsia="en-GB"/>
        </w:rPr>
        <w:t>5</w:t>
      </w:r>
    </w:p>
    <w:p w14:paraId="0345BBD9" w14:textId="77777777" w:rsidR="005B63F8" w:rsidRPr="005B63F8" w:rsidRDefault="005B63F8" w:rsidP="005B63F8">
      <w:pPr>
        <w:pStyle w:val="ListParagraph"/>
        <w:rPr>
          <w:rFonts w:cs="Times New Roman"/>
          <w:lang w:eastAsia="en-GB"/>
        </w:rPr>
      </w:pPr>
    </w:p>
    <w:p w14:paraId="25443805" w14:textId="77777777" w:rsidR="005B63F8" w:rsidRDefault="005B63F8" w:rsidP="005344B5">
      <w:pPr>
        <w:pStyle w:val="ListParagraph"/>
        <w:spacing w:after="240" w:line="288" w:lineRule="auto"/>
        <w:ind w:left="1440" w:firstLine="720"/>
        <w:rPr>
          <w:rFonts w:cs="Times New Roman"/>
          <w:lang w:eastAsia="en-GB"/>
        </w:rPr>
      </w:pPr>
      <w:r>
        <w:rPr>
          <w:rFonts w:cs="Times New Roman"/>
          <w:lang w:eastAsia="en-GB"/>
        </w:rPr>
        <w:t>Purpose</w:t>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t>5</w:t>
      </w:r>
    </w:p>
    <w:p w14:paraId="4525D689" w14:textId="77777777" w:rsidR="005B63F8" w:rsidRPr="005B63F8" w:rsidRDefault="005B63F8" w:rsidP="005B63F8">
      <w:pPr>
        <w:pStyle w:val="ListParagraph"/>
        <w:rPr>
          <w:rFonts w:cs="Times New Roman"/>
          <w:lang w:eastAsia="en-GB"/>
        </w:rPr>
      </w:pPr>
    </w:p>
    <w:p w14:paraId="57A41185" w14:textId="77777777" w:rsidR="00961DF7" w:rsidRDefault="005B63F8" w:rsidP="005344B5">
      <w:pPr>
        <w:pStyle w:val="ListParagraph"/>
        <w:spacing w:after="240" w:line="288" w:lineRule="auto"/>
        <w:ind w:left="1440" w:firstLine="720"/>
        <w:rPr>
          <w:rFonts w:cs="Times New Roman"/>
          <w:lang w:eastAsia="en-GB"/>
        </w:rPr>
      </w:pPr>
      <w:r>
        <w:rPr>
          <w:rFonts w:cs="Times New Roman"/>
          <w:lang w:eastAsia="en-GB"/>
        </w:rPr>
        <w:t>Application of the policy</w:t>
      </w:r>
      <w:r w:rsidR="00BA1E1C">
        <w:rPr>
          <w:rFonts w:cs="Times New Roman"/>
          <w:lang w:eastAsia="en-GB"/>
        </w:rPr>
        <w:tab/>
      </w:r>
      <w:r w:rsidR="00BA1E1C">
        <w:rPr>
          <w:rFonts w:cs="Times New Roman"/>
          <w:lang w:eastAsia="en-GB"/>
        </w:rPr>
        <w:tab/>
      </w:r>
      <w:r w:rsidR="00BA1E1C">
        <w:rPr>
          <w:rFonts w:cs="Times New Roman"/>
          <w:lang w:eastAsia="en-GB"/>
        </w:rPr>
        <w:tab/>
      </w:r>
      <w:r w:rsidR="00961DF7" w:rsidRPr="005B63F8">
        <w:rPr>
          <w:rFonts w:cs="Times New Roman"/>
          <w:lang w:eastAsia="en-GB"/>
        </w:rPr>
        <w:tab/>
      </w:r>
      <w:r w:rsidR="00961DF7" w:rsidRPr="005B63F8">
        <w:rPr>
          <w:rFonts w:cs="Times New Roman"/>
          <w:lang w:eastAsia="en-GB"/>
        </w:rPr>
        <w:tab/>
      </w:r>
      <w:r w:rsidR="00961DF7" w:rsidRPr="005B63F8">
        <w:rPr>
          <w:rFonts w:cs="Times New Roman"/>
          <w:lang w:eastAsia="en-GB"/>
        </w:rPr>
        <w:tab/>
      </w:r>
      <w:r w:rsidR="00961DF7" w:rsidRPr="005B63F8">
        <w:rPr>
          <w:rFonts w:cs="Times New Roman"/>
          <w:lang w:eastAsia="en-GB"/>
        </w:rPr>
        <w:tab/>
      </w:r>
      <w:r w:rsidR="00961DF7" w:rsidRPr="005B63F8">
        <w:rPr>
          <w:rFonts w:cs="Times New Roman"/>
          <w:lang w:eastAsia="en-GB"/>
        </w:rPr>
        <w:tab/>
      </w:r>
      <w:r w:rsidR="00FA5EF1" w:rsidRPr="005B63F8">
        <w:rPr>
          <w:rFonts w:cs="Times New Roman"/>
          <w:lang w:eastAsia="en-GB"/>
        </w:rPr>
        <w:t>5</w:t>
      </w:r>
    </w:p>
    <w:p w14:paraId="4C410DA8" w14:textId="77777777" w:rsidR="005B63F8" w:rsidRPr="005B63F8" w:rsidRDefault="005B63F8" w:rsidP="005B63F8">
      <w:pPr>
        <w:pStyle w:val="ListParagraph"/>
        <w:rPr>
          <w:rFonts w:cs="Times New Roman"/>
          <w:lang w:eastAsia="en-GB"/>
        </w:rPr>
      </w:pPr>
    </w:p>
    <w:p w14:paraId="76B5C6E9" w14:textId="77777777" w:rsidR="00961DF7" w:rsidRPr="005344B5" w:rsidRDefault="005B63F8" w:rsidP="00184B5F">
      <w:pPr>
        <w:pStyle w:val="ListParagraph"/>
        <w:numPr>
          <w:ilvl w:val="0"/>
          <w:numId w:val="5"/>
        </w:numPr>
        <w:spacing w:after="240" w:line="288" w:lineRule="auto"/>
        <w:rPr>
          <w:rFonts w:cs="Times New Roman"/>
          <w:lang w:eastAsia="en-GB"/>
        </w:rPr>
      </w:pPr>
      <w:r w:rsidRPr="005344B5">
        <w:rPr>
          <w:rFonts w:cs="Times New Roman"/>
          <w:lang w:eastAsia="en-GB"/>
        </w:rPr>
        <w:t xml:space="preserve">Appraisal </w:t>
      </w:r>
      <w:r w:rsidR="00BA1E1C" w:rsidRPr="005344B5">
        <w:rPr>
          <w:rFonts w:cs="Times New Roman"/>
          <w:lang w:eastAsia="en-GB"/>
        </w:rPr>
        <w:tab/>
      </w:r>
      <w:r w:rsidR="00BA1E1C" w:rsidRPr="005344B5">
        <w:rPr>
          <w:rFonts w:cs="Times New Roman"/>
          <w:lang w:eastAsia="en-GB"/>
        </w:rPr>
        <w:tab/>
      </w:r>
      <w:r w:rsidR="00BA1E1C" w:rsidRPr="005344B5">
        <w:rPr>
          <w:rFonts w:cs="Times New Roman"/>
          <w:lang w:eastAsia="en-GB"/>
        </w:rPr>
        <w:tab/>
      </w:r>
      <w:r w:rsidR="00BA1E1C" w:rsidRPr="005344B5">
        <w:rPr>
          <w:rFonts w:cs="Times New Roman"/>
          <w:lang w:eastAsia="en-GB"/>
        </w:rPr>
        <w:tab/>
      </w:r>
      <w:r w:rsidR="00BA1E1C" w:rsidRPr="005344B5">
        <w:rPr>
          <w:rFonts w:cs="Times New Roman"/>
          <w:lang w:eastAsia="en-GB"/>
        </w:rPr>
        <w:tab/>
      </w:r>
      <w:r w:rsidR="00BA1E1C" w:rsidRPr="005344B5">
        <w:rPr>
          <w:rFonts w:cs="Times New Roman"/>
          <w:lang w:eastAsia="en-GB"/>
        </w:rPr>
        <w:tab/>
      </w:r>
      <w:r w:rsidR="00BA1E1C" w:rsidRPr="005344B5">
        <w:rPr>
          <w:rFonts w:cs="Times New Roman"/>
          <w:lang w:eastAsia="en-GB"/>
        </w:rPr>
        <w:tab/>
      </w:r>
      <w:r w:rsidR="00BA1E1C" w:rsidRPr="005344B5">
        <w:rPr>
          <w:rFonts w:cs="Times New Roman"/>
          <w:lang w:eastAsia="en-GB"/>
        </w:rPr>
        <w:tab/>
      </w:r>
      <w:r w:rsidR="00B0178D">
        <w:rPr>
          <w:rFonts w:cs="Times New Roman"/>
          <w:lang w:eastAsia="en-GB"/>
        </w:rPr>
        <w:tab/>
      </w:r>
      <w:r w:rsidR="00B0178D">
        <w:rPr>
          <w:rFonts w:cs="Times New Roman"/>
          <w:lang w:eastAsia="en-GB"/>
        </w:rPr>
        <w:tab/>
      </w:r>
      <w:r w:rsidR="00B0178D">
        <w:rPr>
          <w:rFonts w:cs="Times New Roman"/>
          <w:lang w:eastAsia="en-GB"/>
        </w:rPr>
        <w:tab/>
      </w:r>
      <w:r w:rsidR="00B25ED3">
        <w:rPr>
          <w:rFonts w:cs="Times New Roman"/>
          <w:lang w:eastAsia="en-GB"/>
        </w:rPr>
        <w:t>5</w:t>
      </w:r>
    </w:p>
    <w:p w14:paraId="369CD387" w14:textId="77777777" w:rsidR="005B63F8" w:rsidRPr="005B63F8" w:rsidRDefault="005344B5" w:rsidP="005344B5">
      <w:pPr>
        <w:spacing w:after="240" w:line="288" w:lineRule="auto"/>
        <w:ind w:left="1440" w:firstLine="720"/>
        <w:rPr>
          <w:rFonts w:cs="Times New Roman"/>
          <w:lang w:eastAsia="en-GB"/>
        </w:rPr>
      </w:pPr>
      <w:r>
        <w:rPr>
          <w:rFonts w:cs="Times New Roman"/>
          <w:lang w:eastAsia="en-GB"/>
        </w:rPr>
        <w:t>T</w:t>
      </w:r>
      <w:r w:rsidR="00961DF7" w:rsidRPr="005344B5">
        <w:rPr>
          <w:rFonts w:cs="Times New Roman"/>
          <w:lang w:eastAsia="en-GB"/>
        </w:rPr>
        <w:t>he appraisal period</w:t>
      </w:r>
      <w:r w:rsidR="00961DF7" w:rsidRPr="005344B5">
        <w:rPr>
          <w:rFonts w:cs="Times New Roman"/>
          <w:lang w:eastAsia="en-GB"/>
        </w:rPr>
        <w:tab/>
      </w:r>
      <w:r w:rsidR="00961DF7" w:rsidRPr="005344B5">
        <w:rPr>
          <w:rFonts w:cs="Times New Roman"/>
          <w:lang w:eastAsia="en-GB"/>
        </w:rPr>
        <w:tab/>
      </w:r>
      <w:r w:rsidR="00961DF7" w:rsidRPr="005344B5">
        <w:rPr>
          <w:rFonts w:cs="Times New Roman"/>
          <w:lang w:eastAsia="en-GB"/>
        </w:rPr>
        <w:tab/>
      </w:r>
      <w:r w:rsidR="00961DF7" w:rsidRPr="005344B5">
        <w:rPr>
          <w:rFonts w:cs="Times New Roman"/>
          <w:lang w:eastAsia="en-GB"/>
        </w:rPr>
        <w:tab/>
      </w:r>
      <w:r w:rsidR="00961DF7" w:rsidRPr="005344B5">
        <w:rPr>
          <w:rFonts w:cs="Times New Roman"/>
          <w:lang w:eastAsia="en-GB"/>
        </w:rPr>
        <w:tab/>
      </w:r>
      <w:r w:rsidR="00961DF7" w:rsidRPr="005344B5">
        <w:rPr>
          <w:rFonts w:cs="Times New Roman"/>
          <w:lang w:eastAsia="en-GB"/>
        </w:rPr>
        <w:tab/>
      </w:r>
      <w:r w:rsidR="00961DF7" w:rsidRPr="005344B5">
        <w:rPr>
          <w:rFonts w:cs="Times New Roman"/>
          <w:lang w:eastAsia="en-GB"/>
        </w:rPr>
        <w:tab/>
      </w:r>
      <w:r w:rsidR="00961DF7" w:rsidRPr="005344B5">
        <w:rPr>
          <w:rFonts w:cs="Times New Roman"/>
          <w:lang w:eastAsia="en-GB"/>
        </w:rPr>
        <w:tab/>
      </w:r>
      <w:r w:rsidR="00B25ED3">
        <w:rPr>
          <w:rFonts w:cs="Times New Roman"/>
          <w:lang w:eastAsia="en-GB"/>
        </w:rPr>
        <w:t>5</w:t>
      </w:r>
    </w:p>
    <w:p w14:paraId="396BB7B0" w14:textId="77777777" w:rsidR="00961DF7" w:rsidRDefault="00961DF7" w:rsidP="005344B5">
      <w:pPr>
        <w:pStyle w:val="ListParagraph"/>
        <w:spacing w:after="240" w:line="288" w:lineRule="auto"/>
        <w:ind w:left="1440" w:firstLine="720"/>
        <w:rPr>
          <w:rFonts w:cs="Times New Roman"/>
          <w:lang w:eastAsia="en-GB"/>
        </w:rPr>
      </w:pPr>
      <w:r w:rsidRPr="005B63F8">
        <w:rPr>
          <w:rFonts w:cs="Times New Roman"/>
          <w:lang w:eastAsia="en-GB"/>
        </w:rPr>
        <w:t>Appointing appraisers</w:t>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00FA5EF1" w:rsidRPr="005B63F8">
        <w:rPr>
          <w:rFonts w:cs="Times New Roman"/>
          <w:lang w:eastAsia="en-GB"/>
        </w:rPr>
        <w:t>6</w:t>
      </w:r>
    </w:p>
    <w:p w14:paraId="7472A603" w14:textId="77777777" w:rsidR="005B63F8" w:rsidRPr="005B63F8" w:rsidRDefault="005B63F8" w:rsidP="005B63F8">
      <w:pPr>
        <w:pStyle w:val="ListParagraph"/>
        <w:rPr>
          <w:rFonts w:cs="Times New Roman"/>
          <w:lang w:eastAsia="en-GB"/>
        </w:rPr>
      </w:pPr>
    </w:p>
    <w:p w14:paraId="6D57C171" w14:textId="77777777" w:rsidR="00961DF7" w:rsidRDefault="00961DF7" w:rsidP="00B0178D">
      <w:pPr>
        <w:pStyle w:val="ListParagraph"/>
        <w:spacing w:after="240" w:line="288" w:lineRule="auto"/>
        <w:ind w:left="1440" w:firstLine="720"/>
        <w:rPr>
          <w:rFonts w:cs="Times New Roman"/>
          <w:lang w:eastAsia="en-GB"/>
        </w:rPr>
      </w:pPr>
      <w:r w:rsidRPr="005B63F8">
        <w:rPr>
          <w:rFonts w:cs="Times New Roman"/>
          <w:lang w:eastAsia="en-GB"/>
        </w:rPr>
        <w:t>Setting objectives</w:t>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00FA5EF1" w:rsidRPr="005B63F8">
        <w:rPr>
          <w:rFonts w:cs="Times New Roman"/>
          <w:lang w:eastAsia="en-GB"/>
        </w:rPr>
        <w:t>6</w:t>
      </w:r>
    </w:p>
    <w:p w14:paraId="5AA4EBBC" w14:textId="77777777" w:rsidR="005B63F8" w:rsidRPr="005B63F8" w:rsidRDefault="005B63F8" w:rsidP="005B63F8">
      <w:pPr>
        <w:pStyle w:val="ListParagraph"/>
        <w:rPr>
          <w:rFonts w:cs="Times New Roman"/>
          <w:lang w:eastAsia="en-GB"/>
        </w:rPr>
      </w:pPr>
    </w:p>
    <w:p w14:paraId="03F4637E" w14:textId="77777777" w:rsidR="00961DF7" w:rsidRPr="005B63F8" w:rsidRDefault="00961DF7" w:rsidP="00B0178D">
      <w:pPr>
        <w:pStyle w:val="ListParagraph"/>
        <w:spacing w:after="240" w:line="288" w:lineRule="auto"/>
        <w:ind w:left="1440" w:firstLine="720"/>
        <w:rPr>
          <w:rFonts w:cs="Times New Roman"/>
          <w:lang w:eastAsia="en-GB"/>
        </w:rPr>
      </w:pPr>
      <w:r w:rsidRPr="005B63F8">
        <w:rPr>
          <w:rFonts w:cs="Times New Roman"/>
          <w:lang w:eastAsia="en-GB"/>
        </w:rPr>
        <w:t>Reviewing performance</w:t>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00FA5EF1" w:rsidRPr="005B63F8">
        <w:rPr>
          <w:rFonts w:cs="Times New Roman"/>
          <w:lang w:eastAsia="en-GB"/>
        </w:rPr>
        <w:t>7</w:t>
      </w:r>
    </w:p>
    <w:p w14:paraId="5199843B" w14:textId="77777777" w:rsidR="00961DF7" w:rsidRDefault="00961DF7" w:rsidP="00961DF7">
      <w:pPr>
        <w:spacing w:after="240" w:line="288" w:lineRule="auto"/>
        <w:ind w:left="720"/>
        <w:rPr>
          <w:rFonts w:cs="Times New Roman"/>
          <w:lang w:eastAsia="en-GB"/>
        </w:rPr>
      </w:pPr>
      <w:r>
        <w:rPr>
          <w:rFonts w:cs="Times New Roman"/>
          <w:lang w:eastAsia="en-GB"/>
        </w:rPr>
        <w:tab/>
      </w:r>
      <w:r>
        <w:rPr>
          <w:rFonts w:cs="Times New Roman"/>
          <w:lang w:eastAsia="en-GB"/>
        </w:rPr>
        <w:tab/>
      </w:r>
      <w:r w:rsidR="00B0178D">
        <w:rPr>
          <w:rFonts w:cs="Times New Roman"/>
          <w:lang w:eastAsia="en-GB"/>
        </w:rPr>
        <w:tab/>
      </w:r>
      <w:r>
        <w:rPr>
          <w:rFonts w:cs="Times New Roman"/>
          <w:lang w:eastAsia="en-GB"/>
        </w:rPr>
        <w:t>Observation</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FA5EF1">
        <w:rPr>
          <w:rFonts w:cs="Times New Roman"/>
          <w:lang w:eastAsia="en-GB"/>
        </w:rPr>
        <w:t>7</w:t>
      </w:r>
    </w:p>
    <w:p w14:paraId="0972B2C3" w14:textId="77777777" w:rsidR="00961DF7" w:rsidRDefault="00961DF7" w:rsidP="00961DF7">
      <w:pPr>
        <w:spacing w:after="240" w:line="288" w:lineRule="auto"/>
        <w:ind w:left="720"/>
        <w:rPr>
          <w:rFonts w:cs="Times New Roman"/>
          <w:lang w:eastAsia="en-GB"/>
        </w:rPr>
      </w:pPr>
      <w:r>
        <w:rPr>
          <w:rFonts w:cs="Times New Roman"/>
          <w:lang w:eastAsia="en-GB"/>
        </w:rPr>
        <w:tab/>
      </w:r>
      <w:r>
        <w:rPr>
          <w:rFonts w:cs="Times New Roman"/>
          <w:lang w:eastAsia="en-GB"/>
        </w:rPr>
        <w:tab/>
      </w:r>
      <w:r w:rsidR="00B0178D">
        <w:rPr>
          <w:rFonts w:cs="Times New Roman"/>
          <w:lang w:eastAsia="en-GB"/>
        </w:rPr>
        <w:tab/>
      </w:r>
      <w:r>
        <w:rPr>
          <w:rFonts w:cs="Times New Roman"/>
          <w:lang w:eastAsia="en-GB"/>
        </w:rPr>
        <w:t>Development and support</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FA5EF1">
        <w:rPr>
          <w:rFonts w:cs="Times New Roman"/>
          <w:lang w:eastAsia="en-GB"/>
        </w:rPr>
        <w:t>7</w:t>
      </w:r>
    </w:p>
    <w:p w14:paraId="1040A8D3" w14:textId="77777777" w:rsidR="00961DF7" w:rsidRDefault="00961DF7" w:rsidP="00961DF7">
      <w:pPr>
        <w:spacing w:after="240" w:line="288" w:lineRule="auto"/>
        <w:ind w:left="720"/>
        <w:rPr>
          <w:rFonts w:cs="Times New Roman"/>
          <w:lang w:eastAsia="en-GB"/>
        </w:rPr>
      </w:pPr>
      <w:r>
        <w:rPr>
          <w:rFonts w:cs="Times New Roman"/>
          <w:lang w:eastAsia="en-GB"/>
        </w:rPr>
        <w:tab/>
      </w:r>
      <w:r>
        <w:rPr>
          <w:rFonts w:cs="Times New Roman"/>
          <w:lang w:eastAsia="en-GB"/>
        </w:rPr>
        <w:tab/>
      </w:r>
      <w:r w:rsidR="00B0178D">
        <w:rPr>
          <w:rFonts w:cs="Times New Roman"/>
          <w:lang w:eastAsia="en-GB"/>
        </w:rPr>
        <w:tab/>
      </w:r>
      <w:r>
        <w:rPr>
          <w:rFonts w:cs="Times New Roman"/>
          <w:lang w:eastAsia="en-GB"/>
        </w:rPr>
        <w:t>Feedback</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FA5EF1">
        <w:rPr>
          <w:rFonts w:cs="Times New Roman"/>
          <w:lang w:eastAsia="en-GB"/>
        </w:rPr>
        <w:t>7</w:t>
      </w:r>
    </w:p>
    <w:p w14:paraId="1B997328" w14:textId="77777777" w:rsidR="00961DF7" w:rsidRDefault="00961DF7" w:rsidP="00961DF7">
      <w:pPr>
        <w:spacing w:after="240" w:line="288" w:lineRule="auto"/>
        <w:ind w:left="720"/>
        <w:rPr>
          <w:rFonts w:cs="Times New Roman"/>
          <w:lang w:eastAsia="en-GB"/>
        </w:rPr>
      </w:pPr>
      <w:r>
        <w:rPr>
          <w:rFonts w:cs="Times New Roman"/>
          <w:lang w:eastAsia="en-GB"/>
        </w:rPr>
        <w:tab/>
      </w:r>
      <w:r>
        <w:rPr>
          <w:rFonts w:cs="Times New Roman"/>
          <w:lang w:eastAsia="en-GB"/>
        </w:rPr>
        <w:tab/>
      </w:r>
      <w:r w:rsidR="00B0178D">
        <w:rPr>
          <w:rFonts w:cs="Times New Roman"/>
          <w:lang w:eastAsia="en-GB"/>
        </w:rPr>
        <w:tab/>
      </w:r>
      <w:r>
        <w:rPr>
          <w:rFonts w:cs="Times New Roman"/>
          <w:lang w:eastAsia="en-GB"/>
        </w:rPr>
        <w:t>Evidence</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FA5EF1">
        <w:rPr>
          <w:rFonts w:cs="Times New Roman"/>
          <w:lang w:eastAsia="en-GB"/>
        </w:rPr>
        <w:t>8</w:t>
      </w:r>
    </w:p>
    <w:p w14:paraId="68E38A77" w14:textId="77777777" w:rsidR="00961DF7" w:rsidRDefault="00BA1E1C" w:rsidP="005B63F8">
      <w:pPr>
        <w:pStyle w:val="ListParagraph"/>
        <w:numPr>
          <w:ilvl w:val="0"/>
          <w:numId w:val="5"/>
        </w:numPr>
        <w:spacing w:after="240" w:line="288" w:lineRule="auto"/>
        <w:rPr>
          <w:rFonts w:cs="Times New Roman"/>
          <w:lang w:eastAsia="en-GB"/>
        </w:rPr>
      </w:pPr>
      <w:r>
        <w:rPr>
          <w:rFonts w:cs="Times New Roman"/>
          <w:lang w:eastAsia="en-GB"/>
        </w:rPr>
        <w:t>Transition to Capability</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961DF7" w:rsidRPr="005B63F8">
        <w:rPr>
          <w:rFonts w:cs="Times New Roman"/>
          <w:lang w:eastAsia="en-GB"/>
        </w:rPr>
        <w:tab/>
      </w:r>
      <w:r w:rsidR="00B0178D">
        <w:rPr>
          <w:rFonts w:cs="Times New Roman"/>
          <w:lang w:eastAsia="en-GB"/>
        </w:rPr>
        <w:tab/>
      </w:r>
      <w:r w:rsidR="00FA5EF1" w:rsidRPr="005B63F8">
        <w:rPr>
          <w:rFonts w:cs="Times New Roman"/>
          <w:lang w:eastAsia="en-GB"/>
        </w:rPr>
        <w:t>8</w:t>
      </w:r>
    </w:p>
    <w:p w14:paraId="7C43D543" w14:textId="77777777" w:rsidR="005B63F8" w:rsidRPr="005B63F8" w:rsidRDefault="005B63F8" w:rsidP="005B63F8">
      <w:pPr>
        <w:pStyle w:val="ListParagraph"/>
        <w:spacing w:after="240" w:line="288" w:lineRule="auto"/>
        <w:ind w:left="1440"/>
        <w:rPr>
          <w:rFonts w:cs="Times New Roman"/>
          <w:lang w:eastAsia="en-GB"/>
        </w:rPr>
      </w:pPr>
    </w:p>
    <w:p w14:paraId="515969F8" w14:textId="59AD9172" w:rsidR="00961DF7" w:rsidRDefault="00961DF7" w:rsidP="005B63F8">
      <w:pPr>
        <w:pStyle w:val="ListParagraph"/>
        <w:numPr>
          <w:ilvl w:val="0"/>
          <w:numId w:val="5"/>
        </w:numPr>
        <w:spacing w:after="240" w:line="288" w:lineRule="auto"/>
        <w:rPr>
          <w:rFonts w:cs="Times New Roman"/>
          <w:lang w:eastAsia="en-GB"/>
        </w:rPr>
      </w:pPr>
      <w:r w:rsidRPr="005B63F8">
        <w:rPr>
          <w:rFonts w:cs="Times New Roman"/>
          <w:lang w:eastAsia="en-GB"/>
        </w:rPr>
        <w:t>Annual Assessment</w:t>
      </w:r>
      <w:r w:rsidRPr="005B63F8">
        <w:rPr>
          <w:rFonts w:cs="Times New Roman"/>
          <w:lang w:eastAsia="en-GB"/>
        </w:rPr>
        <w:tab/>
      </w:r>
      <w:r w:rsidR="00BA1E1C">
        <w:rPr>
          <w:rFonts w:cs="Times New Roman"/>
          <w:lang w:eastAsia="en-GB"/>
        </w:rPr>
        <w:t xml:space="preserve"> </w:t>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00B0178D">
        <w:rPr>
          <w:rFonts w:cs="Times New Roman"/>
          <w:lang w:eastAsia="en-GB"/>
        </w:rPr>
        <w:tab/>
      </w:r>
      <w:r w:rsidR="00FA5EF1" w:rsidRPr="005B63F8">
        <w:rPr>
          <w:rFonts w:cs="Times New Roman"/>
          <w:lang w:eastAsia="en-GB"/>
        </w:rPr>
        <w:t>8</w:t>
      </w:r>
    </w:p>
    <w:p w14:paraId="6E432808" w14:textId="77777777" w:rsidR="005B63F8" w:rsidRPr="005B63F8" w:rsidRDefault="005B63F8" w:rsidP="005B63F8">
      <w:pPr>
        <w:pStyle w:val="ListParagraph"/>
        <w:rPr>
          <w:rFonts w:cs="Times New Roman"/>
          <w:lang w:eastAsia="en-GB"/>
        </w:rPr>
      </w:pPr>
    </w:p>
    <w:p w14:paraId="2163AC0D" w14:textId="77777777" w:rsidR="00961DF7" w:rsidRPr="005B63F8" w:rsidRDefault="00961DF7" w:rsidP="005B63F8">
      <w:pPr>
        <w:pStyle w:val="ListParagraph"/>
        <w:numPr>
          <w:ilvl w:val="0"/>
          <w:numId w:val="5"/>
        </w:numPr>
        <w:spacing w:after="240" w:line="288" w:lineRule="auto"/>
        <w:rPr>
          <w:rFonts w:cs="Times New Roman"/>
          <w:lang w:eastAsia="en-GB"/>
        </w:rPr>
      </w:pPr>
      <w:r w:rsidRPr="005B63F8">
        <w:rPr>
          <w:rFonts w:cs="Times New Roman"/>
          <w:lang w:eastAsia="en-GB"/>
        </w:rPr>
        <w:t>General Principles Underlying this Policy</w:t>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Pr="005B63F8">
        <w:rPr>
          <w:rFonts w:cs="Times New Roman"/>
          <w:lang w:eastAsia="en-GB"/>
        </w:rPr>
        <w:tab/>
      </w:r>
      <w:r w:rsidR="00B0178D">
        <w:rPr>
          <w:rFonts w:cs="Times New Roman"/>
          <w:lang w:eastAsia="en-GB"/>
        </w:rPr>
        <w:tab/>
      </w:r>
      <w:r w:rsidR="00FA5EF1" w:rsidRPr="005B63F8">
        <w:rPr>
          <w:rFonts w:cs="Times New Roman"/>
          <w:lang w:eastAsia="en-GB"/>
        </w:rPr>
        <w:t>9</w:t>
      </w:r>
    </w:p>
    <w:p w14:paraId="07CC2CFE" w14:textId="77777777" w:rsidR="00961DF7" w:rsidRDefault="00961DF7" w:rsidP="00961DF7">
      <w:pPr>
        <w:spacing w:after="240" w:line="288" w:lineRule="auto"/>
        <w:ind w:left="720"/>
        <w:rPr>
          <w:rFonts w:cs="Times New Roman"/>
          <w:lang w:eastAsia="en-GB"/>
        </w:rPr>
      </w:pPr>
      <w:r>
        <w:rPr>
          <w:rFonts w:cs="Times New Roman"/>
          <w:lang w:eastAsia="en-GB"/>
        </w:rPr>
        <w:tab/>
      </w:r>
      <w:r w:rsidR="00B0178D">
        <w:rPr>
          <w:rFonts w:cs="Times New Roman"/>
          <w:lang w:eastAsia="en-GB"/>
        </w:rPr>
        <w:tab/>
      </w:r>
      <w:r>
        <w:rPr>
          <w:rFonts w:cs="Times New Roman"/>
          <w:lang w:eastAsia="en-GB"/>
        </w:rPr>
        <w:t>Confidentiality</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FA5EF1">
        <w:rPr>
          <w:rFonts w:cs="Times New Roman"/>
          <w:lang w:eastAsia="en-GB"/>
        </w:rPr>
        <w:t>9</w:t>
      </w:r>
    </w:p>
    <w:p w14:paraId="3EE6BD94" w14:textId="77777777" w:rsidR="00961DF7" w:rsidRDefault="00961DF7" w:rsidP="00961DF7">
      <w:pPr>
        <w:spacing w:after="240" w:line="288" w:lineRule="auto"/>
        <w:ind w:left="720"/>
        <w:rPr>
          <w:rFonts w:cs="Times New Roman"/>
          <w:lang w:eastAsia="en-GB"/>
        </w:rPr>
      </w:pPr>
      <w:r>
        <w:rPr>
          <w:rFonts w:cs="Times New Roman"/>
          <w:lang w:eastAsia="en-GB"/>
        </w:rPr>
        <w:tab/>
      </w:r>
      <w:r w:rsidR="00B0178D">
        <w:rPr>
          <w:rFonts w:cs="Times New Roman"/>
          <w:lang w:eastAsia="en-GB"/>
        </w:rPr>
        <w:tab/>
      </w:r>
      <w:r>
        <w:rPr>
          <w:rFonts w:cs="Times New Roman"/>
          <w:lang w:eastAsia="en-GB"/>
        </w:rPr>
        <w:t>Consistency of Treatment and Fairness</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t>9</w:t>
      </w:r>
    </w:p>
    <w:p w14:paraId="35039E2C" w14:textId="77777777" w:rsidR="00961DF7" w:rsidRDefault="00961DF7" w:rsidP="00961DF7">
      <w:pPr>
        <w:spacing w:after="240" w:line="288" w:lineRule="auto"/>
        <w:ind w:left="720"/>
        <w:rPr>
          <w:rFonts w:cs="Times New Roman"/>
          <w:lang w:eastAsia="en-GB"/>
        </w:rPr>
      </w:pPr>
      <w:r>
        <w:rPr>
          <w:rFonts w:cs="Times New Roman"/>
          <w:lang w:eastAsia="en-GB"/>
        </w:rPr>
        <w:tab/>
      </w:r>
      <w:r w:rsidR="00B0178D">
        <w:rPr>
          <w:rFonts w:cs="Times New Roman"/>
          <w:lang w:eastAsia="en-GB"/>
        </w:rPr>
        <w:tab/>
      </w:r>
      <w:r>
        <w:rPr>
          <w:rFonts w:cs="Times New Roman"/>
          <w:lang w:eastAsia="en-GB"/>
        </w:rPr>
        <w:t>Definitions</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t>9</w:t>
      </w:r>
    </w:p>
    <w:p w14:paraId="66D7DBCB" w14:textId="77777777" w:rsidR="00961DF7" w:rsidRDefault="00961DF7" w:rsidP="00961DF7">
      <w:pPr>
        <w:spacing w:after="240" w:line="288" w:lineRule="auto"/>
        <w:ind w:left="720"/>
        <w:rPr>
          <w:rFonts w:cs="Times New Roman"/>
          <w:lang w:eastAsia="en-GB"/>
        </w:rPr>
      </w:pPr>
      <w:r>
        <w:rPr>
          <w:rFonts w:cs="Times New Roman"/>
          <w:lang w:eastAsia="en-GB"/>
        </w:rPr>
        <w:tab/>
      </w:r>
      <w:r w:rsidR="00B0178D">
        <w:rPr>
          <w:rFonts w:cs="Times New Roman"/>
          <w:lang w:eastAsia="en-GB"/>
        </w:rPr>
        <w:tab/>
      </w:r>
      <w:r>
        <w:rPr>
          <w:rFonts w:cs="Times New Roman"/>
          <w:lang w:eastAsia="en-GB"/>
        </w:rPr>
        <w:t>Delegation</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t>9</w:t>
      </w:r>
    </w:p>
    <w:p w14:paraId="0217E479" w14:textId="77777777" w:rsidR="00961DF7" w:rsidRDefault="00961DF7" w:rsidP="00961DF7">
      <w:pPr>
        <w:spacing w:after="240" w:line="288" w:lineRule="auto"/>
        <w:ind w:left="720"/>
        <w:rPr>
          <w:rFonts w:cs="Times New Roman"/>
          <w:lang w:eastAsia="en-GB"/>
        </w:rPr>
      </w:pPr>
      <w:r>
        <w:rPr>
          <w:rFonts w:cs="Times New Roman"/>
          <w:lang w:eastAsia="en-GB"/>
        </w:rPr>
        <w:tab/>
      </w:r>
      <w:r w:rsidR="00B0178D">
        <w:rPr>
          <w:rFonts w:cs="Times New Roman"/>
          <w:lang w:eastAsia="en-GB"/>
        </w:rPr>
        <w:tab/>
      </w:r>
      <w:r w:rsidR="00BA1E1C">
        <w:rPr>
          <w:rFonts w:cs="Times New Roman"/>
          <w:lang w:eastAsia="en-GB"/>
        </w:rPr>
        <w:t>Sickness</w:t>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r>
      <w:r w:rsidR="00BA1E1C">
        <w:rPr>
          <w:rFonts w:cs="Times New Roman"/>
          <w:lang w:eastAsia="en-GB"/>
        </w:rPr>
        <w:tab/>
        <w:t xml:space="preserve">                    </w:t>
      </w:r>
      <w:r w:rsidR="00B25ED3">
        <w:rPr>
          <w:rFonts w:cs="Times New Roman"/>
          <w:lang w:eastAsia="en-GB"/>
        </w:rPr>
        <w:t xml:space="preserve">  9</w:t>
      </w:r>
    </w:p>
    <w:p w14:paraId="69A4B4BF" w14:textId="288EB789" w:rsidR="00961DF7" w:rsidRDefault="00961DF7" w:rsidP="00961DF7">
      <w:pPr>
        <w:spacing w:after="240" w:line="288" w:lineRule="auto"/>
        <w:ind w:left="720"/>
        <w:rPr>
          <w:rFonts w:cs="Times New Roman"/>
          <w:lang w:eastAsia="en-GB"/>
        </w:rPr>
      </w:pPr>
      <w:r>
        <w:rPr>
          <w:rFonts w:cs="Times New Roman"/>
          <w:lang w:eastAsia="en-GB"/>
        </w:rPr>
        <w:tab/>
      </w:r>
      <w:r w:rsidR="00B0178D">
        <w:rPr>
          <w:rFonts w:cs="Times New Roman"/>
          <w:lang w:eastAsia="en-GB"/>
        </w:rPr>
        <w:tab/>
      </w:r>
      <w:r>
        <w:rPr>
          <w:rFonts w:cs="Times New Roman"/>
          <w:lang w:eastAsia="en-GB"/>
        </w:rPr>
        <w:t>Monitoring and Evaluation</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FA5EF1">
        <w:rPr>
          <w:rFonts w:cs="Times New Roman"/>
          <w:lang w:eastAsia="en-GB"/>
        </w:rPr>
        <w:t xml:space="preserve">         </w:t>
      </w:r>
      <w:r w:rsidR="0037559A">
        <w:rPr>
          <w:rFonts w:cs="Times New Roman"/>
          <w:lang w:eastAsia="en-GB"/>
        </w:rPr>
        <w:t xml:space="preserve">  9</w:t>
      </w:r>
    </w:p>
    <w:p w14:paraId="6EB6E578" w14:textId="77777777" w:rsidR="0022681D" w:rsidRDefault="00BA1E1C" w:rsidP="00961DF7">
      <w:pPr>
        <w:spacing w:after="240" w:line="288" w:lineRule="auto"/>
        <w:ind w:left="720"/>
        <w:rPr>
          <w:rFonts w:cs="Times New Roman"/>
          <w:lang w:eastAsia="en-GB"/>
        </w:rPr>
      </w:pPr>
      <w:r>
        <w:rPr>
          <w:rFonts w:cs="Times New Roman"/>
          <w:lang w:eastAsia="en-GB"/>
        </w:rPr>
        <w:lastRenderedPageBreak/>
        <w:tab/>
      </w:r>
      <w:r w:rsidR="00B0178D">
        <w:rPr>
          <w:rFonts w:cs="Times New Roman"/>
          <w:lang w:eastAsia="en-GB"/>
        </w:rPr>
        <w:tab/>
      </w:r>
      <w:r>
        <w:rPr>
          <w:rFonts w:cs="Times New Roman"/>
          <w:lang w:eastAsia="en-GB"/>
        </w:rPr>
        <w:t>Retention</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t xml:space="preserve">         </w:t>
      </w:r>
      <w:r w:rsidR="00961DF7">
        <w:rPr>
          <w:rFonts w:cs="Times New Roman"/>
          <w:lang w:eastAsia="en-GB"/>
        </w:rPr>
        <w:t>10</w:t>
      </w:r>
    </w:p>
    <w:p w14:paraId="798E1484" w14:textId="77777777" w:rsidR="00961DF7" w:rsidRDefault="0022681D" w:rsidP="00961DF7">
      <w:pPr>
        <w:spacing w:after="240" w:line="288" w:lineRule="auto"/>
        <w:ind w:left="720"/>
        <w:rPr>
          <w:rFonts w:cs="Times New Roman"/>
          <w:lang w:eastAsia="en-GB"/>
        </w:rPr>
      </w:pPr>
      <w:r>
        <w:rPr>
          <w:rFonts w:cs="Times New Roman"/>
          <w:lang w:eastAsia="en-GB"/>
        </w:rPr>
        <w:tab/>
      </w:r>
      <w:r>
        <w:rPr>
          <w:rFonts w:cs="Times New Roman"/>
          <w:lang w:eastAsia="en-GB"/>
        </w:rPr>
        <w:tab/>
        <w:t>Links with Pay</w:t>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t xml:space="preserve">         10</w:t>
      </w:r>
      <w:r w:rsidR="00961DF7">
        <w:rPr>
          <w:rFonts w:cs="Times New Roman"/>
          <w:lang w:eastAsia="en-GB"/>
        </w:rPr>
        <w:tab/>
      </w:r>
      <w:r w:rsidR="00961DF7">
        <w:rPr>
          <w:rFonts w:cs="Times New Roman"/>
          <w:lang w:eastAsia="en-GB"/>
        </w:rPr>
        <w:tab/>
      </w:r>
      <w:r w:rsidR="00961DF7">
        <w:rPr>
          <w:rFonts w:cs="Times New Roman"/>
          <w:lang w:eastAsia="en-GB"/>
        </w:rPr>
        <w:tab/>
      </w:r>
      <w:r w:rsidR="00961DF7">
        <w:rPr>
          <w:rFonts w:cs="Times New Roman"/>
          <w:lang w:eastAsia="en-GB"/>
        </w:rPr>
        <w:tab/>
      </w:r>
    </w:p>
    <w:p w14:paraId="5AB609C2" w14:textId="77777777" w:rsidR="00961DF7" w:rsidRPr="002844A5" w:rsidRDefault="00961DF7" w:rsidP="00961DF7">
      <w:pPr>
        <w:spacing w:after="240" w:line="288" w:lineRule="auto"/>
        <w:ind w:left="720"/>
        <w:rPr>
          <w:rFonts w:cs="Times New Roman"/>
          <w:lang w:eastAsia="en-GB"/>
        </w:rPr>
      </w:pP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r>
      <w:r>
        <w:rPr>
          <w:rFonts w:cs="Times New Roman"/>
          <w:lang w:eastAsia="en-GB"/>
        </w:rPr>
        <w:tab/>
        <w:t xml:space="preserve"> </w:t>
      </w:r>
    </w:p>
    <w:p w14:paraId="14A1306B" w14:textId="77777777" w:rsidR="00961DF7" w:rsidRDefault="00961DF7" w:rsidP="00961DF7">
      <w:pPr>
        <w:spacing w:after="240" w:line="288" w:lineRule="auto"/>
        <w:ind w:left="720"/>
        <w:rPr>
          <w:rFonts w:cs="Times New Roman"/>
          <w:strike/>
          <w:lang w:eastAsia="en-GB"/>
        </w:rPr>
      </w:pPr>
    </w:p>
    <w:p w14:paraId="06CB43A7" w14:textId="77777777" w:rsidR="00961DF7" w:rsidRDefault="00961DF7" w:rsidP="00961DF7">
      <w:pPr>
        <w:spacing w:after="240" w:line="288" w:lineRule="auto"/>
        <w:ind w:left="720"/>
        <w:rPr>
          <w:rFonts w:cs="Times New Roman"/>
          <w:strike/>
          <w:lang w:eastAsia="en-GB"/>
        </w:rPr>
      </w:pPr>
    </w:p>
    <w:p w14:paraId="3EEF1BC9" w14:textId="77777777" w:rsidR="00961DF7" w:rsidRPr="002B0F88" w:rsidRDefault="00961DF7" w:rsidP="00961DF7">
      <w:pPr>
        <w:spacing w:after="240" w:line="288" w:lineRule="auto"/>
        <w:ind w:left="720"/>
        <w:rPr>
          <w:rFonts w:cs="Times New Roman"/>
          <w:strike/>
          <w:lang w:eastAsia="en-GB"/>
        </w:rPr>
      </w:pPr>
    </w:p>
    <w:p w14:paraId="7609B7BF" w14:textId="77777777" w:rsidR="00961DF7" w:rsidRPr="000457B7" w:rsidRDefault="00961DF7" w:rsidP="00961DF7"/>
    <w:p w14:paraId="6DDB1065" w14:textId="77777777" w:rsidR="00DC70E1" w:rsidRDefault="00DC70E1" w:rsidP="00DC70E1">
      <w:pPr>
        <w:rPr>
          <w:lang w:val="en-US" w:eastAsia="ja-JP"/>
        </w:rPr>
      </w:pPr>
    </w:p>
    <w:p w14:paraId="0810F632" w14:textId="77777777" w:rsidR="00C921EB" w:rsidRDefault="00C921EB" w:rsidP="00B90227">
      <w:r>
        <w:rPr>
          <w:b/>
          <w:bCs/>
        </w:rPr>
        <w:br w:type="page"/>
      </w:r>
    </w:p>
    <w:tbl>
      <w:tblPr>
        <w:tblW w:w="0" w:type="auto"/>
        <w:tblCellMar>
          <w:top w:w="57" w:type="dxa"/>
          <w:bottom w:w="57" w:type="dxa"/>
        </w:tblCellMar>
        <w:tblLook w:val="04A0" w:firstRow="1" w:lastRow="0" w:firstColumn="1" w:lastColumn="0" w:noHBand="0" w:noVBand="1"/>
      </w:tblPr>
      <w:tblGrid>
        <w:gridCol w:w="9242"/>
      </w:tblGrid>
      <w:tr w:rsidR="00DE7E58" w:rsidRPr="00161A2F" w14:paraId="546E66BC" w14:textId="77777777" w:rsidTr="00D90C43">
        <w:tc>
          <w:tcPr>
            <w:tcW w:w="9242" w:type="dxa"/>
            <w:shd w:val="clear" w:color="auto" w:fill="008080"/>
          </w:tcPr>
          <w:p w14:paraId="0DC18740" w14:textId="77777777" w:rsidR="00DE7E58" w:rsidRPr="002708D8" w:rsidRDefault="00C921EB" w:rsidP="00C921EB">
            <w:pPr>
              <w:pStyle w:val="Heading1"/>
              <w:spacing w:before="0"/>
              <w:rPr>
                <w:rFonts w:ascii="Arial" w:hAnsi="Arial"/>
                <w:color w:val="006666"/>
                <w:sz w:val="48"/>
              </w:rPr>
            </w:pPr>
            <w:bookmarkStart w:id="1" w:name="_Toc490492928"/>
            <w:r>
              <w:rPr>
                <w:rFonts w:ascii="Arial" w:hAnsi="Arial"/>
                <w:color w:val="FFFFFF"/>
                <w:sz w:val="48"/>
              </w:rPr>
              <w:lastRenderedPageBreak/>
              <w:t>Teachers’ Appraisal</w:t>
            </w:r>
            <w:bookmarkEnd w:id="0"/>
            <w:bookmarkEnd w:id="1"/>
          </w:p>
        </w:tc>
      </w:tr>
    </w:tbl>
    <w:p w14:paraId="2A6814E3" w14:textId="77777777" w:rsidR="00DE7E58" w:rsidRDefault="00DE7E58" w:rsidP="00453270">
      <w:pPr>
        <w:pStyle w:val="Header"/>
        <w:tabs>
          <w:tab w:val="clear" w:pos="4513"/>
          <w:tab w:val="clear" w:pos="9026"/>
        </w:tabs>
      </w:pPr>
    </w:p>
    <w:p w14:paraId="75F61317" w14:textId="77777777" w:rsidR="00DE7E58" w:rsidRPr="000457B7" w:rsidRDefault="00DE7E58" w:rsidP="00305191">
      <w:pPr>
        <w:pStyle w:val="Heading1"/>
        <w:spacing w:before="0"/>
        <w:rPr>
          <w:rFonts w:ascii="Arial Unicode MS" w:eastAsia="Arial Unicode MS" w:hAnsi="Arial Unicode MS" w:cs="Arial Unicode MS"/>
          <w:b w:val="0"/>
          <w:color w:val="006666"/>
          <w:sz w:val="32"/>
        </w:rPr>
      </w:pPr>
      <w:bookmarkStart w:id="2" w:name="_Toc467593350"/>
      <w:bookmarkStart w:id="3" w:name="_Toc490492929"/>
      <w:bookmarkStart w:id="4" w:name="_Hlk51774164"/>
      <w:r w:rsidRPr="00012A4F">
        <w:rPr>
          <w:rFonts w:ascii="Arial Unicode MS" w:eastAsia="Arial Unicode MS" w:hAnsi="Arial Unicode MS" w:cs="Arial Unicode MS"/>
          <w:color w:val="006666"/>
          <w:sz w:val="32"/>
        </w:rPr>
        <w:t>1.</w:t>
      </w:r>
      <w:r w:rsidRPr="002708D8">
        <w:rPr>
          <w:b w:val="0"/>
          <w:color w:val="006666"/>
          <w:sz w:val="36"/>
        </w:rPr>
        <w:tab/>
      </w:r>
      <w:bookmarkStart w:id="5" w:name="_Toc467593351"/>
      <w:bookmarkStart w:id="6" w:name="_Toc490492930"/>
      <w:bookmarkEnd w:id="2"/>
      <w:bookmarkEnd w:id="3"/>
      <w:r w:rsidR="00E85680" w:rsidRPr="000457B7">
        <w:rPr>
          <w:rFonts w:ascii="Arial Unicode MS" w:eastAsia="Arial Unicode MS" w:hAnsi="Arial Unicode MS" w:cs="Arial Unicode MS"/>
          <w:color w:val="006666"/>
          <w:sz w:val="32"/>
        </w:rPr>
        <w:t>Introduction</w:t>
      </w:r>
      <w:bookmarkEnd w:id="5"/>
      <w:bookmarkEnd w:id="6"/>
      <w:r w:rsidRPr="000457B7">
        <w:rPr>
          <w:rFonts w:ascii="Arial Unicode MS" w:eastAsia="Arial Unicode MS" w:hAnsi="Arial Unicode MS" w:cs="Arial Unicode MS"/>
          <w:color w:val="006666"/>
          <w:sz w:val="32"/>
        </w:rPr>
        <w:t xml:space="preserve"> </w:t>
      </w:r>
    </w:p>
    <w:p w14:paraId="7C475642" w14:textId="77777777" w:rsidR="00DE7E58" w:rsidRDefault="00DE7E58" w:rsidP="003F11FD"/>
    <w:p w14:paraId="57C51A63" w14:textId="77777777" w:rsidR="00DC70E1" w:rsidRDefault="00DC70E1" w:rsidP="00D73E56">
      <w:pPr>
        <w:ind w:left="720"/>
        <w:rPr>
          <w:bCs/>
          <w:lang w:val="en-US"/>
        </w:rPr>
      </w:pPr>
      <w:r w:rsidRPr="000457B7">
        <w:rPr>
          <w:lang w:val="en-US"/>
        </w:rPr>
        <w:t>Appraisal arrangements are set out in the Education (School Teachers’ Appraisal) (England) Regulations 2012 (the Appraisal Regulations)</w:t>
      </w:r>
      <w:r w:rsidRPr="000457B7">
        <w:rPr>
          <w:bCs/>
          <w:lang w:val="en-US"/>
        </w:rPr>
        <w:t xml:space="preserve">. </w:t>
      </w:r>
    </w:p>
    <w:p w14:paraId="3F921DE8" w14:textId="77777777" w:rsidR="000457B7" w:rsidRPr="000457B7" w:rsidRDefault="000457B7" w:rsidP="00D73E56">
      <w:pPr>
        <w:ind w:left="720"/>
      </w:pPr>
    </w:p>
    <w:p w14:paraId="6392343B" w14:textId="77777777" w:rsidR="00DC70E1" w:rsidRDefault="00DC70E1" w:rsidP="00D73E56">
      <w:pPr>
        <w:ind w:left="720"/>
        <w:rPr>
          <w:i/>
          <w:lang w:val="en-US"/>
        </w:rPr>
      </w:pPr>
      <w:r w:rsidRPr="000457B7">
        <w:rPr>
          <w:lang w:val="en-US"/>
        </w:rPr>
        <w:t>The Appraisal Regulations set out the principles that apply to teachers in all maintained schools and centrally employed (or unattached) teachers employed by a local authority, in each case where they are employed for one term or more.</w:t>
      </w:r>
      <w:r w:rsidRPr="000457B7">
        <w:t xml:space="preserve"> </w:t>
      </w:r>
      <w:r w:rsidRPr="000457B7">
        <w:rPr>
          <w:lang w:val="en-US"/>
        </w:rPr>
        <w:t>It is also good practice for academies to follow the appraisal regulations although they are not legally required to do so.</w:t>
      </w:r>
      <w:r w:rsidRPr="000457B7">
        <w:rPr>
          <w:i/>
          <w:lang w:val="en-US"/>
        </w:rPr>
        <w:t xml:space="preserve"> </w:t>
      </w:r>
    </w:p>
    <w:p w14:paraId="7AEAAB4C" w14:textId="77777777" w:rsidR="000457B7" w:rsidRPr="000457B7" w:rsidRDefault="000457B7" w:rsidP="00D73E56">
      <w:pPr>
        <w:ind w:left="720"/>
        <w:rPr>
          <w:i/>
          <w:lang w:val="en-US"/>
        </w:rPr>
      </w:pPr>
    </w:p>
    <w:p w14:paraId="17BA8A15" w14:textId="77777777" w:rsidR="00DC70E1" w:rsidRDefault="00DC70E1" w:rsidP="00D73E56">
      <w:pPr>
        <w:ind w:left="720"/>
        <w:rPr>
          <w:rFonts w:ascii="Calibri" w:hAnsi="Calibri" w:cs="Calibri"/>
          <w:i/>
          <w:color w:val="1F497D"/>
          <w:sz w:val="22"/>
          <w:szCs w:val="22"/>
        </w:rPr>
      </w:pPr>
      <w:r w:rsidRPr="000457B7">
        <w:rPr>
          <w:iCs/>
          <w:lang w:val="en-US"/>
        </w:rPr>
        <w:t xml:space="preserve">Schools and local authorities must stay within the legal framework set out in the Appraisal Regulations and </w:t>
      </w:r>
      <w:r w:rsidRPr="000457B7">
        <w:rPr>
          <w:iCs/>
          <w:color w:val="000000" w:themeColor="text1"/>
          <w:lang w:val="en-US"/>
        </w:rPr>
        <w:t xml:space="preserve">all schools (including academies) must adhere to any other </w:t>
      </w:r>
      <w:r w:rsidRPr="000457B7">
        <w:rPr>
          <w:iCs/>
          <w:lang w:val="en-US"/>
        </w:rPr>
        <w:t>relevant legislation that affects all employers (for example legislation on equality, employment protection and data protection).</w:t>
      </w:r>
      <w:r w:rsidRPr="000457B7">
        <w:rPr>
          <w:rFonts w:ascii="Calibri" w:hAnsi="Calibri" w:cs="Calibri"/>
          <w:i/>
          <w:color w:val="1F497D"/>
          <w:sz w:val="22"/>
          <w:szCs w:val="22"/>
        </w:rPr>
        <w:t xml:space="preserve"> </w:t>
      </w:r>
    </w:p>
    <w:p w14:paraId="6A500AB0" w14:textId="77777777" w:rsidR="000457B7" w:rsidRPr="000457B7" w:rsidRDefault="000457B7" w:rsidP="00D73E56">
      <w:pPr>
        <w:ind w:left="720"/>
        <w:rPr>
          <w:rFonts w:ascii="Calibri" w:hAnsi="Calibri" w:cs="Calibri"/>
          <w:i/>
          <w:color w:val="1F497D"/>
          <w:sz w:val="22"/>
          <w:szCs w:val="22"/>
        </w:rPr>
      </w:pPr>
    </w:p>
    <w:p w14:paraId="1BB6F195" w14:textId="60E96905" w:rsidR="0022781A" w:rsidRDefault="00DC70E1" w:rsidP="00D73E56">
      <w:pPr>
        <w:ind w:left="720"/>
        <w:rPr>
          <w:lang w:val="en-US"/>
        </w:rPr>
      </w:pPr>
      <w:r w:rsidRPr="000457B7">
        <w:rPr>
          <w:lang w:val="en-US"/>
        </w:rPr>
        <w:t xml:space="preserve">Schools and local authorities must have an appraisal policy for teachers and a policy, covering all staff, which deals with </w:t>
      </w:r>
      <w:r w:rsidR="005E4720">
        <w:rPr>
          <w:lang w:val="en-US"/>
        </w:rPr>
        <w:t xml:space="preserve">or refers to </w:t>
      </w:r>
      <w:r w:rsidRPr="000457B7">
        <w:rPr>
          <w:lang w:val="en-US"/>
        </w:rPr>
        <w:t xml:space="preserve">capability. </w:t>
      </w:r>
      <w:r w:rsidRPr="000457B7">
        <w:t xml:space="preserve">This model policy, updated </w:t>
      </w:r>
      <w:proofErr w:type="gramStart"/>
      <w:r w:rsidRPr="000457B7">
        <w:t xml:space="preserve">in  </w:t>
      </w:r>
      <w:r w:rsidR="0022681D">
        <w:t>Autumn</w:t>
      </w:r>
      <w:proofErr w:type="gramEnd"/>
      <w:r w:rsidR="0022681D">
        <w:t xml:space="preserve"> </w:t>
      </w:r>
      <w:r w:rsidR="00050D6B" w:rsidRPr="0022681D">
        <w:t>20</w:t>
      </w:r>
      <w:r w:rsidR="0022681D" w:rsidRPr="0022681D">
        <w:t>20</w:t>
      </w:r>
      <w:r w:rsidRPr="000457B7">
        <w:t xml:space="preserve">, has been provided as an optional resource for schools and others to which they can refer as they wish as they review and develop their own policies. </w:t>
      </w:r>
      <w:r w:rsidRPr="000457B7">
        <w:rPr>
          <w:lang w:val="en-US"/>
        </w:rPr>
        <w:t xml:space="preserve">It applies only to teachers, including headteachers, but schools might wish to adapt it for use with all staff. It has been written in the context of schools, but the same principles apply to centrally employed (or unattached) teachers. </w:t>
      </w:r>
    </w:p>
    <w:p w14:paraId="756EDDF9" w14:textId="39468EA5" w:rsidR="00844152" w:rsidRDefault="00844152" w:rsidP="00D73E56">
      <w:pPr>
        <w:ind w:left="720"/>
        <w:rPr>
          <w:lang w:val="en-US"/>
        </w:rPr>
      </w:pPr>
    </w:p>
    <w:p w14:paraId="0D5D29A4" w14:textId="49DC68A9" w:rsidR="00844152" w:rsidRPr="00021745" w:rsidRDefault="00844152" w:rsidP="00844152">
      <w:pPr>
        <w:ind w:left="720"/>
      </w:pPr>
      <w:r w:rsidRPr="00021745">
        <w:rPr>
          <w:lang w:val="en-US"/>
        </w:rPr>
        <w:t xml:space="preserve">This model policy has been shared with the trade unions, however agreement has not been possible and it is issued as a management model policy. </w:t>
      </w:r>
      <w:proofErr w:type="gramStart"/>
      <w:r w:rsidRPr="00021745">
        <w:rPr>
          <w:lang w:val="en-US"/>
        </w:rPr>
        <w:t>However</w:t>
      </w:r>
      <w:proofErr w:type="gramEnd"/>
      <w:r w:rsidRPr="00021745">
        <w:rPr>
          <w:lang w:val="en-US"/>
        </w:rPr>
        <w:t xml:space="preserve"> the following trade unions are aware of the policy and its contents NAHT, NASUWT and NEU. </w:t>
      </w:r>
      <w:r w:rsidRPr="00021745">
        <w:t>In view of this it is recommended that Governing Boards consult with their staff on their appraisal policy prior to adoption.</w:t>
      </w:r>
    </w:p>
    <w:p w14:paraId="62DB2D13" w14:textId="77777777" w:rsidR="00844152" w:rsidRPr="00021745" w:rsidRDefault="00844152" w:rsidP="00D73E56">
      <w:pPr>
        <w:ind w:left="720"/>
        <w:rPr>
          <w:lang w:val="en-US"/>
        </w:rPr>
      </w:pPr>
    </w:p>
    <w:p w14:paraId="4F2C654D" w14:textId="77777777" w:rsidR="00DC70E1" w:rsidRDefault="00DC70E1" w:rsidP="00D73E56">
      <w:pPr>
        <w:ind w:left="720"/>
        <w:rPr>
          <w:lang w:val="en-US"/>
        </w:rPr>
      </w:pPr>
      <w:r w:rsidRPr="000457B7">
        <w:rPr>
          <w:lang w:val="en-US"/>
        </w:rPr>
        <w:t xml:space="preserve">The model policy covers appraisal and should be used as a reference point by schools and others as they review their policies to reflect the Appraisal Regulations. </w:t>
      </w:r>
    </w:p>
    <w:p w14:paraId="7537297D" w14:textId="77777777" w:rsidR="000457B7" w:rsidRPr="000457B7" w:rsidRDefault="000457B7" w:rsidP="00D73E56">
      <w:pPr>
        <w:ind w:left="720"/>
        <w:rPr>
          <w:lang w:val="en-US"/>
        </w:rPr>
      </w:pPr>
    </w:p>
    <w:p w14:paraId="603F9D8A" w14:textId="77777777" w:rsidR="00DC70E1" w:rsidRDefault="00DC70E1" w:rsidP="00D73E56">
      <w:pPr>
        <w:ind w:left="720"/>
        <w:rPr>
          <w:lang w:val="en-US"/>
        </w:rPr>
      </w:pPr>
      <w:r w:rsidRPr="000457B7">
        <w:rPr>
          <w:lang w:val="en-US"/>
        </w:rPr>
        <w:t xml:space="preserve">It is important that the appraisal process is managed in a way that avoids increased workload for all parties concerned, for example, reviewing the number and frequency of meetings and observations, and ensuring the process for collecting evidence is always proportionate.  </w:t>
      </w:r>
    </w:p>
    <w:p w14:paraId="038B9E2A" w14:textId="77777777" w:rsidR="000457B7" w:rsidRPr="000457B7" w:rsidRDefault="000457B7" w:rsidP="00D73E56">
      <w:pPr>
        <w:ind w:left="720"/>
        <w:rPr>
          <w:lang w:val="en-US"/>
        </w:rPr>
      </w:pPr>
    </w:p>
    <w:p w14:paraId="1E3F5B5F" w14:textId="77777777" w:rsidR="000457B7" w:rsidRDefault="00DC70E1" w:rsidP="00D73E56">
      <w:pPr>
        <w:ind w:firstLine="720"/>
        <w:rPr>
          <w:lang w:val="en-US"/>
        </w:rPr>
      </w:pPr>
      <w:r w:rsidRPr="000457B7">
        <w:rPr>
          <w:lang w:val="en-US"/>
        </w:rPr>
        <w:t>In the model policy:</w:t>
      </w:r>
    </w:p>
    <w:p w14:paraId="7FA10222" w14:textId="77777777" w:rsidR="00DC70E1" w:rsidRPr="000457B7" w:rsidRDefault="00DC70E1" w:rsidP="00D73E56">
      <w:pPr>
        <w:ind w:firstLine="720"/>
        <w:rPr>
          <w:lang w:val="en-US"/>
        </w:rPr>
      </w:pPr>
      <w:r w:rsidRPr="000457B7">
        <w:rPr>
          <w:lang w:val="en-US"/>
        </w:rPr>
        <w:t xml:space="preserve"> </w:t>
      </w:r>
    </w:p>
    <w:p w14:paraId="5EDBBC26" w14:textId="77777777" w:rsidR="00DC70E1" w:rsidRDefault="00DC70E1" w:rsidP="00D73E56">
      <w:pPr>
        <w:ind w:left="720"/>
        <w:rPr>
          <w:lang w:val="en-US"/>
        </w:rPr>
      </w:pPr>
      <w:r w:rsidRPr="000457B7">
        <w:rPr>
          <w:b/>
          <w:lang w:val="en-US"/>
        </w:rPr>
        <w:t xml:space="preserve">Text in bold </w:t>
      </w:r>
      <w:r w:rsidRPr="000457B7">
        <w:rPr>
          <w:lang w:val="en-US"/>
        </w:rPr>
        <w:t xml:space="preserve">indicates statutory requirements contained in the Appraisal Regulations or the School Staffing Regulations. </w:t>
      </w:r>
    </w:p>
    <w:p w14:paraId="2ECDE9ED" w14:textId="77777777" w:rsidR="000457B7" w:rsidRPr="000457B7" w:rsidRDefault="000457B7" w:rsidP="00D73E56">
      <w:pPr>
        <w:ind w:left="720"/>
        <w:rPr>
          <w:lang w:val="en-US"/>
        </w:rPr>
      </w:pPr>
    </w:p>
    <w:p w14:paraId="2C94070F" w14:textId="48BEB609" w:rsidR="00DC70E1" w:rsidRDefault="00DC70E1" w:rsidP="00D73E56">
      <w:pPr>
        <w:ind w:left="720"/>
        <w:rPr>
          <w:lang w:val="en-US"/>
        </w:rPr>
      </w:pPr>
      <w:r w:rsidRPr="000457B7">
        <w:rPr>
          <w:i/>
          <w:lang w:val="en-US"/>
        </w:rPr>
        <w:t xml:space="preserve">Text in italics </w:t>
      </w:r>
      <w:r w:rsidRPr="000457B7">
        <w:rPr>
          <w:lang w:val="en-US"/>
        </w:rPr>
        <w:t>does not form part of the policy itself</w:t>
      </w:r>
      <w:r w:rsidR="007815AB">
        <w:rPr>
          <w:lang w:val="en-US"/>
        </w:rPr>
        <w:t xml:space="preserve"> </w:t>
      </w:r>
      <w:r w:rsidRPr="000457B7">
        <w:rPr>
          <w:lang w:val="en-US"/>
        </w:rPr>
        <w:t>but acts as additional advice for schools.</w:t>
      </w:r>
    </w:p>
    <w:p w14:paraId="45DF9BBF" w14:textId="77777777" w:rsidR="000457B7" w:rsidRPr="000457B7" w:rsidRDefault="000457B7" w:rsidP="00D73E56">
      <w:pPr>
        <w:ind w:left="720"/>
        <w:rPr>
          <w:lang w:val="en-US"/>
        </w:rPr>
      </w:pPr>
    </w:p>
    <w:p w14:paraId="2E66CB4D" w14:textId="77777777" w:rsidR="00DC70E1" w:rsidRDefault="00DC70E1" w:rsidP="00D73E56">
      <w:pPr>
        <w:ind w:left="720"/>
      </w:pPr>
      <w:r w:rsidRPr="000457B7">
        <w:t>For the purposes of this model policy the term governance board should be considered to include reference to governing bodies.</w:t>
      </w:r>
    </w:p>
    <w:p w14:paraId="38920571" w14:textId="77777777" w:rsidR="00B25ED3" w:rsidRDefault="00B25ED3" w:rsidP="00D73E56">
      <w:pPr>
        <w:ind w:left="720"/>
      </w:pPr>
    </w:p>
    <w:p w14:paraId="54E789EE" w14:textId="77777777" w:rsidR="00B25ED3" w:rsidRDefault="00B25ED3" w:rsidP="00D73E56">
      <w:pPr>
        <w:ind w:left="720"/>
      </w:pPr>
    </w:p>
    <w:p w14:paraId="375AA1DD" w14:textId="77777777" w:rsidR="00E85680" w:rsidRPr="00E85680" w:rsidRDefault="00590C0C" w:rsidP="006D457A">
      <w:pPr>
        <w:pStyle w:val="Heading1"/>
        <w:spacing w:before="0"/>
        <w:rPr>
          <w:lang w:val="en-US" w:eastAsia="en-GB"/>
        </w:rPr>
      </w:pPr>
      <w:bookmarkStart w:id="7" w:name="_Toc490492931"/>
      <w:bookmarkStart w:id="8" w:name="_Toc467593352"/>
      <w:r w:rsidRPr="00012A4F">
        <w:rPr>
          <w:rFonts w:ascii="Arial Unicode MS" w:eastAsia="Arial Unicode MS" w:hAnsi="Arial Unicode MS" w:cs="Arial Unicode MS"/>
          <w:color w:val="006666"/>
          <w:sz w:val="32"/>
        </w:rPr>
        <w:t>2</w:t>
      </w:r>
      <w:r w:rsidR="006D457A" w:rsidRPr="00012A4F">
        <w:rPr>
          <w:rFonts w:ascii="Arial Unicode MS" w:eastAsia="Arial Unicode MS" w:hAnsi="Arial Unicode MS" w:cs="Arial Unicode MS"/>
          <w:color w:val="006666"/>
          <w:sz w:val="32"/>
        </w:rPr>
        <w:t>.</w:t>
      </w:r>
      <w:r w:rsidR="006D457A" w:rsidRPr="002708D8">
        <w:rPr>
          <w:b w:val="0"/>
          <w:color w:val="006666"/>
          <w:sz w:val="36"/>
        </w:rPr>
        <w:tab/>
      </w:r>
      <w:r w:rsidR="006D457A" w:rsidRPr="00D73E56">
        <w:rPr>
          <w:rFonts w:ascii="Arial Unicode MS" w:eastAsia="Arial Unicode MS" w:hAnsi="Arial Unicode MS" w:cs="Arial Unicode MS"/>
          <w:color w:val="006666"/>
          <w:sz w:val="32"/>
        </w:rPr>
        <w:t>Model Policy for Appraising Teacher Performance</w:t>
      </w:r>
      <w:bookmarkEnd w:id="7"/>
      <w:r w:rsidR="006D457A" w:rsidRPr="006D457A">
        <w:rPr>
          <w:rFonts w:ascii="Arial" w:hAnsi="Arial"/>
          <w:color w:val="006666"/>
          <w:sz w:val="32"/>
        </w:rPr>
        <w:t xml:space="preserve"> </w:t>
      </w:r>
      <w:r w:rsidR="00E85680">
        <w:rPr>
          <w:color w:val="006666"/>
          <w:sz w:val="32"/>
        </w:rPr>
        <w:tab/>
      </w:r>
    </w:p>
    <w:bookmarkEnd w:id="8"/>
    <w:p w14:paraId="2B007C3F" w14:textId="77777777" w:rsidR="00DE7E58" w:rsidRDefault="00DE7E58" w:rsidP="003F11FD"/>
    <w:p w14:paraId="4CAB3D79" w14:textId="5FBE96EF" w:rsidR="00E85680" w:rsidRPr="00DC70E1" w:rsidRDefault="00E85680" w:rsidP="00E85680">
      <w:pPr>
        <w:ind w:left="720"/>
        <w:rPr>
          <w:lang w:val="en-US" w:eastAsia="en-GB"/>
        </w:rPr>
      </w:pPr>
      <w:r w:rsidRPr="00DC70E1">
        <w:rPr>
          <w:lang w:val="en-US" w:eastAsia="en-GB"/>
        </w:rPr>
        <w:t xml:space="preserve">The Governing Board of </w:t>
      </w:r>
      <w:r w:rsidR="00437CDF">
        <w:rPr>
          <w:lang w:val="en-US" w:eastAsia="en-GB"/>
        </w:rPr>
        <w:t xml:space="preserve">St Mary’s RC Primary </w:t>
      </w:r>
      <w:r w:rsidRPr="00DC70E1">
        <w:rPr>
          <w:lang w:val="en-US" w:eastAsia="en-GB"/>
        </w:rPr>
        <w:t>School adopted this policy on________________________</w:t>
      </w:r>
    </w:p>
    <w:p w14:paraId="60623AD3" w14:textId="77777777" w:rsidR="00E85680" w:rsidRPr="00DC70E1" w:rsidRDefault="00E85680" w:rsidP="00E85680">
      <w:pPr>
        <w:ind w:left="720"/>
        <w:rPr>
          <w:lang w:val="en-US" w:eastAsia="en-GB"/>
        </w:rPr>
      </w:pPr>
    </w:p>
    <w:p w14:paraId="337791C3" w14:textId="1FA99E25" w:rsidR="00E85680" w:rsidRPr="00DC70E1" w:rsidRDefault="00E85680" w:rsidP="00E85680">
      <w:pPr>
        <w:ind w:left="720"/>
        <w:rPr>
          <w:lang w:val="en-US" w:eastAsia="en-GB"/>
        </w:rPr>
      </w:pPr>
      <w:r w:rsidRPr="00DC70E1">
        <w:rPr>
          <w:lang w:val="en-US" w:eastAsia="en-GB"/>
        </w:rPr>
        <w:t>It will review it in</w:t>
      </w:r>
      <w:r w:rsidR="00437CDF">
        <w:rPr>
          <w:lang w:val="en-US" w:eastAsia="en-GB"/>
        </w:rPr>
        <w:t xml:space="preserve"> Spring 2024. </w:t>
      </w:r>
      <w:r w:rsidRPr="00DC70E1">
        <w:rPr>
          <w:lang w:val="en-US" w:eastAsia="en-GB"/>
        </w:rPr>
        <w:t xml:space="preserve"> </w:t>
      </w:r>
    </w:p>
    <w:p w14:paraId="0D1FA8E7" w14:textId="77777777" w:rsidR="00E85680" w:rsidRPr="00B90227" w:rsidRDefault="00E85680" w:rsidP="00E85680">
      <w:pPr>
        <w:ind w:left="720"/>
        <w:rPr>
          <w:color w:val="FF0000"/>
          <w:lang w:val="en-US" w:eastAsia="en-GB"/>
        </w:rPr>
      </w:pPr>
      <w:r w:rsidRPr="00B90227">
        <w:rPr>
          <w:color w:val="FF0000"/>
          <w:lang w:val="en-US" w:eastAsia="en-GB"/>
        </w:rPr>
        <w:t xml:space="preserve"> </w:t>
      </w:r>
    </w:p>
    <w:p w14:paraId="129F6F33" w14:textId="77777777" w:rsidR="00E85680" w:rsidRPr="00D73E56" w:rsidRDefault="00E85680" w:rsidP="00B0178D">
      <w:pPr>
        <w:ind w:firstLine="720"/>
        <w:rPr>
          <w:rFonts w:ascii="Arial Unicode MS" w:eastAsia="Arial Unicode MS" w:hAnsi="Arial Unicode MS" w:cs="Arial Unicode MS"/>
          <w:b/>
          <w:color w:val="006666"/>
          <w:sz w:val="32"/>
          <w:szCs w:val="32"/>
          <w:lang w:eastAsia="en-GB"/>
        </w:rPr>
      </w:pPr>
      <w:r w:rsidRPr="00D73E56">
        <w:rPr>
          <w:rFonts w:ascii="Arial Unicode MS" w:eastAsia="Arial Unicode MS" w:hAnsi="Arial Unicode MS" w:cs="Arial Unicode MS"/>
          <w:b/>
          <w:color w:val="006666"/>
          <w:sz w:val="32"/>
          <w:szCs w:val="32"/>
          <w:lang w:eastAsia="en-GB"/>
        </w:rPr>
        <w:t xml:space="preserve">Purpose </w:t>
      </w:r>
    </w:p>
    <w:p w14:paraId="0979C3BC" w14:textId="77777777" w:rsidR="00E85680" w:rsidRPr="00DC70E1" w:rsidRDefault="00E85680" w:rsidP="00E85680">
      <w:pPr>
        <w:ind w:left="720"/>
        <w:rPr>
          <w:lang w:eastAsia="en-GB"/>
        </w:rPr>
      </w:pPr>
    </w:p>
    <w:p w14:paraId="1F56AC5C" w14:textId="77777777" w:rsidR="00E85680" w:rsidRPr="00DC70E1" w:rsidRDefault="00E85680" w:rsidP="00E85680">
      <w:pPr>
        <w:ind w:left="720"/>
        <w:rPr>
          <w:lang w:val="en-US" w:eastAsia="en-GB"/>
        </w:rPr>
      </w:pPr>
      <w:r w:rsidRPr="00DC70E1">
        <w:rPr>
          <w:lang w:val="en-US" w:eastAsia="en-GB"/>
        </w:rPr>
        <w:t xml:space="preserve">This policy sets out the framework for a clear and consistent assessment of the overall performance of teachers, including the head teacher, and for supporting their development within the context of the school’s plan for improving educational provision and performance, and the standards expected of teachers. It also </w:t>
      </w:r>
      <w:r w:rsidR="00A27D7A">
        <w:rPr>
          <w:lang w:val="en-US" w:eastAsia="en-GB"/>
        </w:rPr>
        <w:t xml:space="preserve">refers to </w:t>
      </w:r>
      <w:r w:rsidRPr="00DC70E1">
        <w:rPr>
          <w:lang w:val="en-US" w:eastAsia="en-GB"/>
        </w:rPr>
        <w:t>the arrangements that will apply when teachers fall below the levels of competence that are expected of them.</w:t>
      </w:r>
    </w:p>
    <w:p w14:paraId="5B1F0D94" w14:textId="77777777" w:rsidR="00E85680" w:rsidRPr="00DC70E1" w:rsidRDefault="00E85680" w:rsidP="00E85680">
      <w:pPr>
        <w:ind w:left="720"/>
        <w:rPr>
          <w:lang w:val="en-US" w:eastAsia="en-GB"/>
        </w:rPr>
      </w:pPr>
    </w:p>
    <w:p w14:paraId="5158BD88" w14:textId="77777777" w:rsidR="00E85680" w:rsidRPr="00D73E56" w:rsidRDefault="00E85680" w:rsidP="00B0178D">
      <w:pPr>
        <w:ind w:firstLine="720"/>
        <w:rPr>
          <w:rFonts w:ascii="Arial Unicode MS" w:eastAsia="Arial Unicode MS" w:hAnsi="Arial Unicode MS" w:cs="Arial Unicode MS"/>
          <w:b/>
          <w:color w:val="006666"/>
          <w:sz w:val="32"/>
          <w:szCs w:val="32"/>
          <w:lang w:eastAsia="en-GB"/>
        </w:rPr>
      </w:pPr>
      <w:r w:rsidRPr="00D73E56">
        <w:rPr>
          <w:rFonts w:ascii="Arial Unicode MS" w:eastAsia="Arial Unicode MS" w:hAnsi="Arial Unicode MS" w:cs="Arial Unicode MS"/>
          <w:b/>
          <w:color w:val="006666"/>
          <w:sz w:val="32"/>
          <w:szCs w:val="32"/>
          <w:lang w:eastAsia="en-GB"/>
        </w:rPr>
        <w:t xml:space="preserve">Application of the policy </w:t>
      </w:r>
    </w:p>
    <w:p w14:paraId="546BF148" w14:textId="77777777" w:rsidR="00E85680" w:rsidRPr="00DC70E1" w:rsidRDefault="00E85680" w:rsidP="00E85680">
      <w:pPr>
        <w:ind w:left="720"/>
        <w:rPr>
          <w:lang w:val="en-US" w:eastAsia="en-GB"/>
        </w:rPr>
      </w:pPr>
    </w:p>
    <w:p w14:paraId="4C14400E" w14:textId="77777777" w:rsidR="00E85680" w:rsidRPr="00DC70E1" w:rsidRDefault="00E85680" w:rsidP="00E85680">
      <w:pPr>
        <w:ind w:left="720"/>
        <w:rPr>
          <w:lang w:val="en-US" w:eastAsia="en-GB"/>
        </w:rPr>
      </w:pPr>
      <w:r w:rsidRPr="00DC70E1">
        <w:rPr>
          <w:lang w:val="en-US" w:eastAsia="en-GB"/>
        </w:rPr>
        <w:t xml:space="preserve">This policy covers appraisal. It applies to all teachers (including the Headteacher) employed by the school. It does not apply to </w:t>
      </w:r>
    </w:p>
    <w:p w14:paraId="3FEA3E50" w14:textId="77777777" w:rsidR="00E85680" w:rsidRPr="00DC70E1" w:rsidRDefault="00E85680" w:rsidP="00E85680">
      <w:pPr>
        <w:ind w:left="720"/>
        <w:rPr>
          <w:lang w:val="en-US" w:eastAsia="en-GB"/>
        </w:rPr>
      </w:pPr>
    </w:p>
    <w:p w14:paraId="18656C1D" w14:textId="77777777" w:rsidR="00E85680" w:rsidRPr="00DC70E1" w:rsidRDefault="00E85680" w:rsidP="002B0F88">
      <w:pPr>
        <w:numPr>
          <w:ilvl w:val="0"/>
          <w:numId w:val="1"/>
        </w:numPr>
        <w:rPr>
          <w:lang w:val="en-US" w:eastAsia="en-GB"/>
        </w:rPr>
      </w:pPr>
      <w:r w:rsidRPr="00DC70E1">
        <w:rPr>
          <w:lang w:val="en-US" w:eastAsia="en-GB"/>
        </w:rPr>
        <w:t xml:space="preserve">teachers on contracts of less than one term, </w:t>
      </w:r>
    </w:p>
    <w:p w14:paraId="05F16157" w14:textId="77777777" w:rsidR="00E85680" w:rsidRPr="00DC70E1" w:rsidRDefault="00E85680" w:rsidP="002B0F88">
      <w:pPr>
        <w:numPr>
          <w:ilvl w:val="0"/>
          <w:numId w:val="1"/>
        </w:numPr>
        <w:rPr>
          <w:lang w:val="en-US" w:eastAsia="en-GB"/>
        </w:rPr>
      </w:pPr>
      <w:r w:rsidRPr="00DC70E1">
        <w:rPr>
          <w:lang w:val="en-US" w:eastAsia="en-GB"/>
        </w:rPr>
        <w:t xml:space="preserve">teachers who are undergoing induction </w:t>
      </w:r>
      <w:r w:rsidRPr="00DC70E1">
        <w:rPr>
          <w:i/>
          <w:lang w:val="en-US" w:eastAsia="en-GB"/>
        </w:rPr>
        <w:t>(</w:t>
      </w:r>
      <w:proofErr w:type="spellStart"/>
      <w:r w:rsidRPr="00DC70E1">
        <w:rPr>
          <w:i/>
          <w:lang w:val="en-US" w:eastAsia="en-GB"/>
        </w:rPr>
        <w:t>ie</w:t>
      </w:r>
      <w:proofErr w:type="spellEnd"/>
      <w:r w:rsidRPr="00DC70E1">
        <w:rPr>
          <w:i/>
          <w:lang w:val="en-US" w:eastAsia="en-GB"/>
        </w:rPr>
        <w:t xml:space="preserve"> NQTs) </w:t>
      </w:r>
    </w:p>
    <w:p w14:paraId="1830010D" w14:textId="77777777" w:rsidR="00E85680" w:rsidRDefault="00E85680" w:rsidP="002B0F88">
      <w:pPr>
        <w:numPr>
          <w:ilvl w:val="0"/>
          <w:numId w:val="1"/>
        </w:numPr>
        <w:rPr>
          <w:lang w:val="en-US" w:eastAsia="en-GB"/>
        </w:rPr>
      </w:pPr>
      <w:r w:rsidRPr="00DC70E1">
        <w:rPr>
          <w:lang w:val="en-US" w:eastAsia="en-GB"/>
        </w:rPr>
        <w:t>teachers who are subject to capability procedures under the Capability procedure.</w:t>
      </w:r>
    </w:p>
    <w:p w14:paraId="04A51D47" w14:textId="77777777" w:rsidR="00D73E56" w:rsidRDefault="00D73E56" w:rsidP="00D73E56">
      <w:pPr>
        <w:rPr>
          <w:lang w:val="en-US" w:eastAsia="en-GB"/>
        </w:rPr>
      </w:pPr>
    </w:p>
    <w:p w14:paraId="4D60E031" w14:textId="77777777" w:rsidR="00D73E56" w:rsidRDefault="00D73E56" w:rsidP="00D73E56">
      <w:pPr>
        <w:rPr>
          <w:lang w:val="en-US" w:eastAsia="en-GB"/>
        </w:rPr>
      </w:pPr>
    </w:p>
    <w:p w14:paraId="1885A8DF" w14:textId="77777777" w:rsidR="00D73E56" w:rsidRPr="002C77DB" w:rsidRDefault="00D73E56" w:rsidP="00D73E56">
      <w:pPr>
        <w:ind w:left="720"/>
        <w:rPr>
          <w:lang w:val="en-US"/>
        </w:rPr>
      </w:pPr>
      <w:r>
        <w:rPr>
          <w:lang w:val="en-US"/>
        </w:rPr>
        <w:t>The policy should always be applied in a way that is robust whilst</w:t>
      </w:r>
      <w:r w:rsidRPr="00514668">
        <w:t xml:space="preserve"> minimising</w:t>
      </w:r>
      <w:r>
        <w:rPr>
          <w:lang w:val="en-US"/>
        </w:rPr>
        <w:t xml:space="preserve"> the impact on workload for teachers, line managers, headteachers and governance boards.</w:t>
      </w:r>
    </w:p>
    <w:p w14:paraId="19DA34BF" w14:textId="78017FAA" w:rsidR="00E85680" w:rsidRPr="00E85680" w:rsidRDefault="00E85680" w:rsidP="00437CDF">
      <w:pPr>
        <w:rPr>
          <w:lang w:val="en-US" w:eastAsia="en-GB"/>
        </w:rPr>
      </w:pPr>
    </w:p>
    <w:p w14:paraId="632652A9" w14:textId="77777777" w:rsidR="00E85680" w:rsidRDefault="00E85680" w:rsidP="00E85680">
      <w:pPr>
        <w:ind w:left="720"/>
        <w:rPr>
          <w:b/>
          <w:i/>
          <w:lang w:val="en-US" w:eastAsia="en-GB"/>
        </w:rPr>
      </w:pPr>
    </w:p>
    <w:p w14:paraId="503DFDFA" w14:textId="77777777" w:rsidR="006D5A47" w:rsidRPr="00D73E56" w:rsidRDefault="00B0178D" w:rsidP="00D73E56">
      <w:pPr>
        <w:rPr>
          <w:rFonts w:ascii="Arial Unicode MS" w:eastAsia="Arial Unicode MS" w:hAnsi="Arial Unicode MS" w:cs="Arial Unicode MS"/>
          <w:b/>
          <w:color w:val="006666"/>
          <w:sz w:val="32"/>
          <w:szCs w:val="32"/>
          <w:lang w:val="en-US" w:eastAsia="en-GB"/>
        </w:rPr>
      </w:pPr>
      <w:r>
        <w:rPr>
          <w:rFonts w:ascii="Arial Unicode MS" w:eastAsia="Arial Unicode MS" w:hAnsi="Arial Unicode MS" w:cs="Arial Unicode MS"/>
          <w:b/>
          <w:color w:val="006666"/>
          <w:sz w:val="32"/>
          <w:szCs w:val="32"/>
          <w:lang w:eastAsia="en-GB"/>
        </w:rPr>
        <w:t>3</w:t>
      </w:r>
      <w:r w:rsidR="00D73E56" w:rsidRPr="00D73E56">
        <w:rPr>
          <w:rFonts w:ascii="Arial Unicode MS" w:eastAsia="Arial Unicode MS" w:hAnsi="Arial Unicode MS" w:cs="Arial Unicode MS"/>
          <w:b/>
          <w:color w:val="006666"/>
          <w:sz w:val="32"/>
          <w:szCs w:val="32"/>
          <w:lang w:eastAsia="en-GB"/>
        </w:rPr>
        <w:t>.</w:t>
      </w:r>
      <w:r w:rsidR="00D73E56" w:rsidRPr="00D73E56">
        <w:rPr>
          <w:rFonts w:ascii="Arial Unicode MS" w:eastAsia="Arial Unicode MS" w:hAnsi="Arial Unicode MS" w:cs="Arial Unicode MS"/>
          <w:b/>
          <w:color w:val="006666"/>
          <w:sz w:val="32"/>
          <w:szCs w:val="32"/>
          <w:lang w:eastAsia="en-GB"/>
        </w:rPr>
        <w:tab/>
      </w:r>
      <w:r w:rsidR="006D5A47" w:rsidRPr="00D73E56">
        <w:rPr>
          <w:rFonts w:ascii="Arial Unicode MS" w:eastAsia="Arial Unicode MS" w:hAnsi="Arial Unicode MS" w:cs="Arial Unicode MS"/>
          <w:b/>
          <w:color w:val="006666"/>
          <w:sz w:val="32"/>
          <w:szCs w:val="32"/>
          <w:lang w:eastAsia="en-GB"/>
        </w:rPr>
        <w:t xml:space="preserve">Appraisal </w:t>
      </w:r>
    </w:p>
    <w:p w14:paraId="75453ED4" w14:textId="77777777" w:rsidR="006D5A47" w:rsidRPr="00B90227" w:rsidRDefault="006D5A47" w:rsidP="006D5A47">
      <w:pPr>
        <w:ind w:left="720"/>
        <w:rPr>
          <w:b/>
          <w:color w:val="FF0000"/>
          <w:lang w:val="en-US" w:eastAsia="en-GB"/>
        </w:rPr>
      </w:pPr>
    </w:p>
    <w:p w14:paraId="7C883124" w14:textId="77777777" w:rsidR="00D73E56" w:rsidRPr="0040769B" w:rsidRDefault="00D73E56" w:rsidP="00D73E56">
      <w:pPr>
        <w:ind w:left="720"/>
        <w:rPr>
          <w:i/>
          <w:lang w:val="en-US"/>
        </w:rPr>
      </w:pPr>
      <w:r w:rsidRPr="0040769B">
        <w:rPr>
          <w:lang w:val="en-US"/>
        </w:rPr>
        <w:t xml:space="preserve">Appraisal in this school will be a supportive and developmental process designed to ensure that all teachers have </w:t>
      </w:r>
      <w:r>
        <w:rPr>
          <w:lang w:val="en-US"/>
        </w:rPr>
        <w:t xml:space="preserve">or fully develop </w:t>
      </w:r>
      <w:r w:rsidRPr="0040769B">
        <w:rPr>
          <w:lang w:val="en-US"/>
        </w:rPr>
        <w:t xml:space="preserve">the skills and </w:t>
      </w:r>
      <w:r>
        <w:rPr>
          <w:lang w:val="en-US"/>
        </w:rPr>
        <w:t xml:space="preserve">access to </w:t>
      </w:r>
      <w:r w:rsidRPr="0040769B">
        <w:rPr>
          <w:lang w:val="en-US"/>
        </w:rPr>
        <w:t>support they need to carry out their role effectively. It will help to ensure that teachers are able to continue to improve their professional practice and to develop as teachers.</w:t>
      </w:r>
    </w:p>
    <w:p w14:paraId="0FD22219" w14:textId="77777777" w:rsidR="00DC70E1" w:rsidRPr="00B90227" w:rsidRDefault="00DC70E1" w:rsidP="006D5A47">
      <w:pPr>
        <w:ind w:left="720"/>
        <w:rPr>
          <w:i/>
          <w:color w:val="FF0000"/>
          <w:lang w:val="en-US" w:eastAsia="en-GB"/>
        </w:rPr>
      </w:pPr>
    </w:p>
    <w:p w14:paraId="0B72E1D7" w14:textId="77777777" w:rsidR="00DC70E1" w:rsidRPr="00D73E56" w:rsidRDefault="00B0178D" w:rsidP="00D73E56">
      <w:pPr>
        <w:rPr>
          <w:rFonts w:ascii="Arial Unicode MS" w:eastAsia="Arial Unicode MS" w:hAnsi="Arial Unicode MS" w:cs="Arial Unicode MS"/>
          <w:b/>
          <w:color w:val="006666"/>
          <w:sz w:val="32"/>
          <w:szCs w:val="32"/>
          <w:lang w:val="en-US" w:eastAsia="en-GB"/>
        </w:rPr>
      </w:pPr>
      <w:r>
        <w:rPr>
          <w:rFonts w:ascii="Arial Unicode MS" w:eastAsia="Arial Unicode MS" w:hAnsi="Arial Unicode MS" w:cs="Arial Unicode MS"/>
          <w:b/>
          <w:color w:val="006666"/>
          <w:sz w:val="32"/>
          <w:szCs w:val="32"/>
          <w:lang w:eastAsia="en-GB"/>
        </w:rPr>
        <w:t xml:space="preserve">   </w:t>
      </w:r>
      <w:r w:rsidR="00D73E56" w:rsidRPr="00D73E56">
        <w:rPr>
          <w:rFonts w:ascii="Arial Unicode MS" w:eastAsia="Arial Unicode MS" w:hAnsi="Arial Unicode MS" w:cs="Arial Unicode MS"/>
          <w:b/>
          <w:color w:val="006666"/>
          <w:sz w:val="32"/>
          <w:szCs w:val="32"/>
          <w:lang w:eastAsia="en-GB"/>
        </w:rPr>
        <w:t xml:space="preserve">     </w:t>
      </w:r>
      <w:r w:rsidR="00DC70E1" w:rsidRPr="00D73E56">
        <w:rPr>
          <w:rFonts w:ascii="Arial Unicode MS" w:eastAsia="Arial Unicode MS" w:hAnsi="Arial Unicode MS" w:cs="Arial Unicode MS"/>
          <w:b/>
          <w:color w:val="006666"/>
          <w:sz w:val="32"/>
          <w:szCs w:val="32"/>
          <w:lang w:eastAsia="en-GB"/>
        </w:rPr>
        <w:t xml:space="preserve">The appraisal </w:t>
      </w:r>
      <w:proofErr w:type="gramStart"/>
      <w:r w:rsidR="00DC70E1" w:rsidRPr="00D73E56">
        <w:rPr>
          <w:rFonts w:ascii="Arial Unicode MS" w:eastAsia="Arial Unicode MS" w:hAnsi="Arial Unicode MS" w:cs="Arial Unicode MS"/>
          <w:b/>
          <w:color w:val="006666"/>
          <w:sz w:val="32"/>
          <w:szCs w:val="32"/>
          <w:lang w:eastAsia="en-GB"/>
        </w:rPr>
        <w:t>period</w:t>
      </w:r>
      <w:proofErr w:type="gramEnd"/>
      <w:r w:rsidR="00DC70E1" w:rsidRPr="00D73E56">
        <w:rPr>
          <w:rFonts w:ascii="Arial Unicode MS" w:eastAsia="Arial Unicode MS" w:hAnsi="Arial Unicode MS" w:cs="Arial Unicode MS"/>
          <w:b/>
          <w:color w:val="006666"/>
          <w:sz w:val="32"/>
          <w:szCs w:val="32"/>
          <w:lang w:eastAsia="en-GB"/>
        </w:rPr>
        <w:t xml:space="preserve"> </w:t>
      </w:r>
    </w:p>
    <w:p w14:paraId="514EB6E4" w14:textId="77777777" w:rsidR="00DC70E1" w:rsidRPr="00B90227" w:rsidRDefault="00DC70E1" w:rsidP="00DC70E1">
      <w:pPr>
        <w:ind w:left="720"/>
        <w:rPr>
          <w:b/>
          <w:color w:val="FF0000"/>
          <w:lang w:val="en-US" w:eastAsia="en-GB"/>
        </w:rPr>
      </w:pPr>
    </w:p>
    <w:p w14:paraId="53CB3519" w14:textId="3090F611" w:rsidR="00DC70E1" w:rsidRDefault="00DC70E1" w:rsidP="00D73E56">
      <w:pPr>
        <w:ind w:left="720"/>
        <w:rPr>
          <w:i/>
          <w:lang w:val="en-US"/>
        </w:rPr>
      </w:pPr>
      <w:r w:rsidRPr="0040769B">
        <w:rPr>
          <w:b/>
          <w:lang w:val="en-US"/>
        </w:rPr>
        <w:t xml:space="preserve">The appraisal period will run for twelve months </w:t>
      </w:r>
      <w:r w:rsidRPr="0040769B">
        <w:rPr>
          <w:lang w:val="en-US"/>
        </w:rPr>
        <w:t xml:space="preserve">from </w:t>
      </w:r>
      <w:r w:rsidR="00437CDF" w:rsidRPr="00437CDF">
        <w:rPr>
          <w:highlight w:val="yellow"/>
          <w:lang w:val="en-US"/>
        </w:rPr>
        <w:t>April</w:t>
      </w:r>
      <w:r w:rsidRPr="00437CDF">
        <w:rPr>
          <w:highlight w:val="yellow"/>
          <w:lang w:val="en-US"/>
        </w:rPr>
        <w:t xml:space="preserve"> to </w:t>
      </w:r>
      <w:r w:rsidR="00437CDF" w:rsidRPr="00437CDF">
        <w:rPr>
          <w:highlight w:val="yellow"/>
          <w:lang w:val="en-US"/>
        </w:rPr>
        <w:t>March</w:t>
      </w:r>
      <w:r w:rsidRPr="0040769B">
        <w:rPr>
          <w:i/>
          <w:lang w:val="en-US"/>
        </w:rPr>
        <w:t xml:space="preserve">. </w:t>
      </w:r>
    </w:p>
    <w:p w14:paraId="35C0EBFB" w14:textId="77777777" w:rsidR="000457B7" w:rsidRPr="0040769B" w:rsidRDefault="000457B7" w:rsidP="00D73E56">
      <w:pPr>
        <w:ind w:left="720"/>
        <w:rPr>
          <w:i/>
          <w:lang w:val="en-US"/>
        </w:rPr>
      </w:pPr>
    </w:p>
    <w:p w14:paraId="4529C53D" w14:textId="77777777" w:rsidR="00DC70E1" w:rsidRDefault="00DC70E1" w:rsidP="00D73E56">
      <w:pPr>
        <w:ind w:left="720"/>
        <w:rPr>
          <w:b/>
          <w:lang w:val="en-US"/>
        </w:rPr>
      </w:pPr>
      <w:r w:rsidRPr="0040769B">
        <w:rPr>
          <w:lang w:val="en-US"/>
        </w:rPr>
        <w:t xml:space="preserve">Teachers who are employed on a fixed term contract of less than one year will have their performance managed in accordance with the principles underpinning this policy. </w:t>
      </w:r>
      <w:r w:rsidRPr="0040769B">
        <w:rPr>
          <w:b/>
          <w:lang w:val="en-US"/>
        </w:rPr>
        <w:t>The length of the period will be determined by the duration of their contract</w:t>
      </w:r>
      <w:r>
        <w:rPr>
          <w:b/>
          <w:lang w:val="en-US"/>
        </w:rPr>
        <w:t xml:space="preserve"> and an individual teacher’s objectives should take account of the length of contract</w:t>
      </w:r>
      <w:r w:rsidRPr="0040769B">
        <w:rPr>
          <w:b/>
          <w:lang w:val="en-US"/>
        </w:rPr>
        <w:t>.</w:t>
      </w:r>
    </w:p>
    <w:p w14:paraId="6E8092D1" w14:textId="77777777" w:rsidR="000457B7" w:rsidRPr="0040769B" w:rsidRDefault="000457B7" w:rsidP="00D73E56">
      <w:pPr>
        <w:ind w:left="720"/>
        <w:rPr>
          <w:b/>
          <w:lang w:val="en-US"/>
        </w:rPr>
      </w:pPr>
    </w:p>
    <w:p w14:paraId="558D5E13" w14:textId="77777777" w:rsidR="00DC70E1" w:rsidRPr="0040769B" w:rsidRDefault="00DC70E1" w:rsidP="00D73E56">
      <w:pPr>
        <w:ind w:left="720"/>
        <w:rPr>
          <w:lang w:val="en-US"/>
        </w:rPr>
      </w:pPr>
      <w:r w:rsidRPr="0040769B">
        <w:rPr>
          <w:i/>
          <w:lang w:val="en-US"/>
        </w:rPr>
        <w:lastRenderedPageBreak/>
        <w:t>There is flexibility to have a longer or shorter appraisal period when teachers begin or end employment with a school or local authority or when unattached teachers change post within the same authority.</w:t>
      </w:r>
    </w:p>
    <w:p w14:paraId="2B5EEC60" w14:textId="77777777" w:rsidR="00DC70E1" w:rsidRPr="00DC70E1" w:rsidRDefault="00DC70E1" w:rsidP="006D5A47">
      <w:pPr>
        <w:ind w:left="720"/>
        <w:rPr>
          <w:i/>
          <w:color w:val="FF0000"/>
          <w:lang w:val="en-US" w:eastAsia="en-GB"/>
        </w:rPr>
      </w:pPr>
    </w:p>
    <w:p w14:paraId="739EE0CF" w14:textId="77777777" w:rsidR="006D5A47" w:rsidRPr="00A35D38" w:rsidRDefault="00B0178D" w:rsidP="00A35D38">
      <w:pPr>
        <w:rPr>
          <w:rFonts w:ascii="Arial Unicode MS" w:eastAsia="Arial Unicode MS" w:hAnsi="Arial Unicode MS" w:cs="Arial Unicode MS"/>
          <w:b/>
          <w:color w:val="006666"/>
          <w:sz w:val="32"/>
          <w:szCs w:val="32"/>
          <w:lang w:val="en-US" w:eastAsia="en-GB"/>
        </w:rPr>
      </w:pPr>
      <w:r>
        <w:rPr>
          <w:rFonts w:ascii="Arial Unicode MS" w:eastAsia="Arial Unicode MS" w:hAnsi="Arial Unicode MS" w:cs="Arial Unicode MS"/>
          <w:b/>
          <w:color w:val="006666"/>
          <w:sz w:val="32"/>
          <w:szCs w:val="32"/>
          <w:lang w:eastAsia="en-GB"/>
        </w:rPr>
        <w:t xml:space="preserve">   </w:t>
      </w:r>
      <w:r w:rsidR="00D73E56" w:rsidRPr="00A35D38">
        <w:rPr>
          <w:rFonts w:ascii="Arial Unicode MS" w:eastAsia="Arial Unicode MS" w:hAnsi="Arial Unicode MS" w:cs="Arial Unicode MS"/>
          <w:b/>
          <w:color w:val="006666"/>
          <w:sz w:val="32"/>
          <w:szCs w:val="32"/>
          <w:lang w:eastAsia="en-GB"/>
        </w:rPr>
        <w:t xml:space="preserve">    </w:t>
      </w:r>
      <w:r w:rsidR="00A35D38">
        <w:rPr>
          <w:rFonts w:ascii="Arial Unicode MS" w:eastAsia="Arial Unicode MS" w:hAnsi="Arial Unicode MS" w:cs="Arial Unicode MS"/>
          <w:b/>
          <w:color w:val="006666"/>
          <w:sz w:val="32"/>
          <w:szCs w:val="32"/>
          <w:lang w:eastAsia="en-GB"/>
        </w:rPr>
        <w:t xml:space="preserve"> </w:t>
      </w:r>
      <w:r w:rsidR="006D5A47" w:rsidRPr="00A35D38">
        <w:rPr>
          <w:rFonts w:ascii="Arial Unicode MS" w:eastAsia="Arial Unicode MS" w:hAnsi="Arial Unicode MS" w:cs="Arial Unicode MS"/>
          <w:b/>
          <w:color w:val="006666"/>
          <w:sz w:val="32"/>
          <w:szCs w:val="32"/>
          <w:lang w:eastAsia="en-GB"/>
        </w:rPr>
        <w:t xml:space="preserve">Appointing appraisers </w:t>
      </w:r>
    </w:p>
    <w:p w14:paraId="31235F69" w14:textId="77777777" w:rsidR="006D5A47" w:rsidRPr="00B90227" w:rsidRDefault="006D5A47" w:rsidP="006D5A47">
      <w:pPr>
        <w:ind w:left="720"/>
        <w:rPr>
          <w:b/>
          <w:color w:val="FF0000"/>
          <w:lang w:val="en-US" w:eastAsia="en-GB"/>
        </w:rPr>
      </w:pPr>
    </w:p>
    <w:p w14:paraId="350FFC83" w14:textId="77777777" w:rsidR="001957B8" w:rsidRDefault="001957B8" w:rsidP="00A35D38">
      <w:pPr>
        <w:ind w:left="720"/>
        <w:rPr>
          <w:lang w:val="en-US"/>
        </w:rPr>
      </w:pPr>
      <w:r w:rsidRPr="0040769B">
        <w:rPr>
          <w:b/>
          <w:lang w:val="en-US"/>
        </w:rPr>
        <w:t>The headteacher</w:t>
      </w:r>
      <w:r>
        <w:rPr>
          <w:b/>
          <w:lang w:val="en-US"/>
        </w:rPr>
        <w:t>/CEO of trust of other senior trust staff</w:t>
      </w:r>
      <w:r w:rsidRPr="0040769B">
        <w:rPr>
          <w:b/>
          <w:lang w:val="en-US"/>
        </w:rPr>
        <w:t xml:space="preserve"> will be appraised by the </w:t>
      </w:r>
      <w:r>
        <w:rPr>
          <w:b/>
          <w:lang w:val="en-US"/>
        </w:rPr>
        <w:t>governance board</w:t>
      </w:r>
      <w:r w:rsidRPr="0040769B">
        <w:rPr>
          <w:b/>
          <w:lang w:val="en-US"/>
        </w:rPr>
        <w:t>,</w:t>
      </w:r>
      <w:r w:rsidRPr="0040769B">
        <w:rPr>
          <w:lang w:val="en-US"/>
        </w:rPr>
        <w:t xml:space="preserve"> </w:t>
      </w:r>
      <w:r w:rsidRPr="0040769B">
        <w:rPr>
          <w:b/>
          <w:lang w:val="en-US"/>
        </w:rPr>
        <w:t xml:space="preserve">supported by a </w:t>
      </w:r>
      <w:r w:rsidRPr="0040769B">
        <w:rPr>
          <w:lang w:val="en-US"/>
        </w:rPr>
        <w:t>suitably skilled and/or experienced</w:t>
      </w:r>
      <w:r w:rsidRPr="0040769B">
        <w:rPr>
          <w:b/>
          <w:lang w:val="en-US"/>
        </w:rPr>
        <w:t xml:space="preserve"> external adviser who has been appointed by the </w:t>
      </w:r>
      <w:r>
        <w:rPr>
          <w:b/>
          <w:lang w:val="en-US"/>
        </w:rPr>
        <w:t>governance board</w:t>
      </w:r>
      <w:r w:rsidRPr="0040769B">
        <w:rPr>
          <w:b/>
          <w:lang w:val="en-US"/>
        </w:rPr>
        <w:t xml:space="preserve"> for that purpose.</w:t>
      </w:r>
      <w:r w:rsidRPr="0040769B">
        <w:rPr>
          <w:lang w:val="en-US"/>
        </w:rPr>
        <w:t xml:space="preserve"> </w:t>
      </w:r>
    </w:p>
    <w:p w14:paraId="4156FE5D" w14:textId="77777777" w:rsidR="00DD4FDE" w:rsidRPr="0040769B" w:rsidRDefault="00DD4FDE" w:rsidP="00A35D38">
      <w:pPr>
        <w:ind w:left="720"/>
        <w:rPr>
          <w:lang w:val="en-US"/>
        </w:rPr>
      </w:pPr>
    </w:p>
    <w:p w14:paraId="41690848" w14:textId="52860FB0" w:rsidR="001957B8" w:rsidRDefault="001957B8" w:rsidP="00A35D38">
      <w:pPr>
        <w:ind w:left="720"/>
        <w:rPr>
          <w:lang w:val="en-US"/>
        </w:rPr>
      </w:pPr>
      <w:r w:rsidRPr="0040769B">
        <w:rPr>
          <w:lang w:val="en-US"/>
        </w:rPr>
        <w:t xml:space="preserve">In this school the task of appraising the headteacher, including the setting of objectives, will be delegated to a sub-group consisting of </w:t>
      </w:r>
      <w:r w:rsidRPr="00437CDF">
        <w:rPr>
          <w:b/>
          <w:highlight w:val="yellow"/>
          <w:lang w:val="en-US"/>
        </w:rPr>
        <w:t>two members</w:t>
      </w:r>
      <w:r w:rsidRPr="0040769B">
        <w:rPr>
          <w:i/>
          <w:lang w:val="en-US"/>
        </w:rPr>
        <w:t xml:space="preserve"> </w:t>
      </w:r>
      <w:r w:rsidRPr="0040769B">
        <w:rPr>
          <w:lang w:val="en-US"/>
        </w:rPr>
        <w:t xml:space="preserve">of the </w:t>
      </w:r>
      <w:r>
        <w:rPr>
          <w:lang w:val="en-US"/>
        </w:rPr>
        <w:t>governance board</w:t>
      </w:r>
      <w:r w:rsidRPr="0040769B">
        <w:rPr>
          <w:lang w:val="en-US"/>
        </w:rPr>
        <w:t>.</w:t>
      </w:r>
    </w:p>
    <w:p w14:paraId="756F8B78" w14:textId="77777777" w:rsidR="00DD4FDE" w:rsidRPr="0040769B" w:rsidRDefault="00DD4FDE" w:rsidP="00A35D38">
      <w:pPr>
        <w:ind w:left="720"/>
        <w:rPr>
          <w:i/>
          <w:lang w:val="en-US"/>
        </w:rPr>
      </w:pPr>
    </w:p>
    <w:p w14:paraId="53466837" w14:textId="77777777" w:rsidR="001957B8" w:rsidRDefault="001957B8" w:rsidP="00A35D38">
      <w:pPr>
        <w:ind w:firstLine="720"/>
        <w:rPr>
          <w:lang w:val="en-US"/>
        </w:rPr>
      </w:pPr>
      <w:r w:rsidRPr="0040769B">
        <w:rPr>
          <w:lang w:val="en-US"/>
        </w:rPr>
        <w:t xml:space="preserve">The headteacher will decide who will appraise other teachers. </w:t>
      </w:r>
    </w:p>
    <w:p w14:paraId="4F18D5EE" w14:textId="77777777" w:rsidR="00DD4FDE" w:rsidRPr="0040769B" w:rsidRDefault="00DD4FDE" w:rsidP="00A35D38">
      <w:pPr>
        <w:ind w:firstLine="720"/>
        <w:rPr>
          <w:i/>
          <w:lang w:val="en-US"/>
        </w:rPr>
      </w:pPr>
    </w:p>
    <w:p w14:paraId="06D3DE09" w14:textId="77777777" w:rsidR="006D5A47" w:rsidRPr="00A35D38" w:rsidRDefault="00A35D38" w:rsidP="00A35D38">
      <w:pPr>
        <w:rPr>
          <w:rFonts w:ascii="Arial Unicode MS" w:eastAsia="Arial Unicode MS" w:hAnsi="Arial Unicode MS" w:cs="Arial Unicode MS"/>
          <w:b/>
          <w:color w:val="006666"/>
          <w:sz w:val="32"/>
          <w:szCs w:val="32"/>
          <w:lang w:val="en-US" w:eastAsia="en-GB"/>
        </w:rPr>
      </w:pPr>
      <w:r>
        <w:rPr>
          <w:rFonts w:ascii="Arial Unicode MS" w:eastAsia="Arial Unicode MS" w:hAnsi="Arial Unicode MS" w:cs="Arial Unicode MS"/>
          <w:b/>
          <w:color w:val="006666"/>
          <w:sz w:val="32"/>
          <w:szCs w:val="32"/>
          <w:lang w:eastAsia="en-GB"/>
        </w:rPr>
        <w:t xml:space="preserve">   </w:t>
      </w:r>
      <w:r>
        <w:rPr>
          <w:rFonts w:ascii="Arial Unicode MS" w:eastAsia="Arial Unicode MS" w:hAnsi="Arial Unicode MS" w:cs="Arial Unicode MS"/>
          <w:b/>
          <w:color w:val="006666"/>
          <w:sz w:val="32"/>
          <w:szCs w:val="32"/>
          <w:lang w:eastAsia="en-GB"/>
        </w:rPr>
        <w:tab/>
      </w:r>
      <w:r w:rsidR="006D5A47" w:rsidRPr="00A35D38">
        <w:rPr>
          <w:rFonts w:ascii="Arial Unicode MS" w:eastAsia="Arial Unicode MS" w:hAnsi="Arial Unicode MS" w:cs="Arial Unicode MS"/>
          <w:b/>
          <w:color w:val="006666"/>
          <w:sz w:val="32"/>
          <w:szCs w:val="32"/>
          <w:lang w:eastAsia="en-GB"/>
        </w:rPr>
        <w:t xml:space="preserve">Setting objectives </w:t>
      </w:r>
    </w:p>
    <w:p w14:paraId="08F9B931" w14:textId="77777777" w:rsidR="006D5A47" w:rsidRPr="00B90227" w:rsidRDefault="006D5A47" w:rsidP="006D5A47">
      <w:pPr>
        <w:ind w:left="720"/>
        <w:rPr>
          <w:b/>
          <w:i/>
          <w:color w:val="FF0000"/>
          <w:lang w:eastAsia="en-GB"/>
        </w:rPr>
      </w:pPr>
    </w:p>
    <w:p w14:paraId="6F424FEF" w14:textId="77777777" w:rsidR="001957B8" w:rsidRDefault="001957B8" w:rsidP="00A35D38">
      <w:pPr>
        <w:ind w:left="720"/>
      </w:pPr>
      <w:r w:rsidRPr="00844152">
        <w:rPr>
          <w:b/>
        </w:rPr>
        <w:t xml:space="preserve">The headteacher’s objectives will be set by the governance board after consultation with the external adviser. </w:t>
      </w:r>
      <w:r w:rsidRPr="00844152">
        <w:t>The governance board has a duty to have regard to the work-life balance of the headteacher and objectives will reflect this.</w:t>
      </w:r>
      <w:r w:rsidRPr="004270E7">
        <w:t xml:space="preserve"> </w:t>
      </w:r>
    </w:p>
    <w:p w14:paraId="5E017A6F" w14:textId="77777777" w:rsidR="00DD4FDE" w:rsidRPr="004270E7" w:rsidRDefault="00DD4FDE" w:rsidP="00A35D38">
      <w:pPr>
        <w:ind w:left="720"/>
      </w:pPr>
    </w:p>
    <w:p w14:paraId="79C2E2D7" w14:textId="4924B434" w:rsidR="001957B8" w:rsidRDefault="001957B8" w:rsidP="00A35D38">
      <w:pPr>
        <w:ind w:left="720"/>
        <w:rPr>
          <w:lang w:val="en-US"/>
        </w:rPr>
      </w:pPr>
      <w:r w:rsidRPr="004270E7">
        <w:rPr>
          <w:b/>
          <w:lang w:val="en-US"/>
        </w:rPr>
        <w:t>Objectives for each teacher will be set before, or as soon as practicable after, the start of each appraisal period.</w:t>
      </w:r>
      <w:r w:rsidRPr="004270E7">
        <w:rPr>
          <w:lang w:val="en-US"/>
        </w:rPr>
        <w:t xml:space="preserve"> The objectives set for each teacher, will be Specific, Measurable, Achievable, Realistic and Time-bound and will be appropriate to the teacher’s role and level of experience. </w:t>
      </w:r>
      <w:r w:rsidRPr="004270E7">
        <w:t xml:space="preserve">Objectives and performance management discussions will not be based on teacher generated data and predictions, or solely on the assessment data for a single group of pupils. </w:t>
      </w:r>
      <w:r>
        <w:t>Objectives can be set in relation to robust assessment data, however, these will not be used in isolation and other factors will also be considered when making decisions about pay progression</w:t>
      </w:r>
      <w:r w:rsidRPr="004270E7">
        <w:t xml:space="preserve">. </w:t>
      </w:r>
      <w:r w:rsidRPr="0040769B">
        <w:rPr>
          <w:lang w:val="en-US"/>
        </w:rPr>
        <w:t xml:space="preserve">The appraiser and teacher will seek to agree the objectives but, if that is not possible, the appraiser will determine the objectives. Objectives </w:t>
      </w:r>
      <w:r>
        <w:rPr>
          <w:lang w:val="en-US"/>
        </w:rPr>
        <w:t>should</w:t>
      </w:r>
      <w:r w:rsidRPr="0040769B">
        <w:rPr>
          <w:lang w:val="en-US"/>
        </w:rPr>
        <w:t xml:space="preserve"> be revised if circumstances change.</w:t>
      </w:r>
    </w:p>
    <w:p w14:paraId="44854F3C" w14:textId="77777777" w:rsidR="00DD4FDE" w:rsidRPr="0040769B" w:rsidRDefault="00DD4FDE" w:rsidP="00A35D38">
      <w:pPr>
        <w:ind w:left="720"/>
        <w:rPr>
          <w:lang w:val="en-US"/>
        </w:rPr>
      </w:pPr>
    </w:p>
    <w:p w14:paraId="493D97D3" w14:textId="77777777" w:rsidR="001957B8" w:rsidRDefault="001957B8" w:rsidP="00A35D38">
      <w:pPr>
        <w:ind w:left="720"/>
        <w:rPr>
          <w:b/>
        </w:rPr>
      </w:pPr>
      <w:r w:rsidRPr="0040769B">
        <w:rPr>
          <w:b/>
        </w:rPr>
        <w:t xml:space="preserve">The objectives set for each teacher will, if achieved, contribute to the school’s plans for improving the school’s educational provision and performance and improving the education of pupils at that school. </w:t>
      </w:r>
    </w:p>
    <w:p w14:paraId="5AF64A20" w14:textId="77777777" w:rsidR="00DD4FDE" w:rsidRPr="0040769B" w:rsidRDefault="00DD4FDE" w:rsidP="00A35D38">
      <w:pPr>
        <w:ind w:left="720"/>
        <w:rPr>
          <w:i/>
        </w:rPr>
      </w:pPr>
    </w:p>
    <w:p w14:paraId="35868A9D" w14:textId="77777777" w:rsidR="001957B8" w:rsidRDefault="001957B8" w:rsidP="00A35D38">
      <w:pPr>
        <w:ind w:left="720"/>
        <w:rPr>
          <w:bCs/>
          <w:i/>
          <w:lang w:val="en-US"/>
        </w:rPr>
      </w:pPr>
      <w:r w:rsidRPr="0040769B">
        <w:rPr>
          <w:b/>
        </w:rPr>
        <w:t xml:space="preserve">Before, or as soon as practicable after, the start of each appraisal period, each teacher will be informed of the standards against which that teacher’s performance in that appraisal period will be assessed. </w:t>
      </w:r>
      <w:r w:rsidRPr="0040769B">
        <w:rPr>
          <w:bCs/>
          <w:i/>
          <w:lang w:val="en-US"/>
        </w:rPr>
        <w:t xml:space="preserve">With the exception of those who are qualified teachers by virtue of holding and maintaining Qualified Teacher Learning and Skills (QTLS) status, all teachers must be assessed against the set of standards contained in the document called “Teachers’ Standards” published in July 2011. </w:t>
      </w:r>
    </w:p>
    <w:p w14:paraId="05806C79" w14:textId="77777777" w:rsidR="00DD4FDE" w:rsidRPr="0040769B" w:rsidRDefault="00DD4FDE" w:rsidP="00A35D38">
      <w:pPr>
        <w:ind w:left="720"/>
        <w:rPr>
          <w:bCs/>
          <w:i/>
          <w:lang w:val="en-US"/>
        </w:rPr>
      </w:pPr>
    </w:p>
    <w:p w14:paraId="2ACE23B8" w14:textId="77777777" w:rsidR="001957B8" w:rsidRDefault="001957B8" w:rsidP="00A35D38">
      <w:pPr>
        <w:ind w:left="720"/>
        <w:rPr>
          <w:bCs/>
          <w:i/>
          <w:lang w:val="en-US"/>
        </w:rPr>
      </w:pPr>
      <w:r w:rsidRPr="0040769B">
        <w:rPr>
          <w:bCs/>
          <w:i/>
          <w:lang w:val="en-US"/>
        </w:rPr>
        <w:t xml:space="preserve">For teachers who are qualified teachers by virtue of holding QTLS status, it is for the </w:t>
      </w:r>
      <w:r>
        <w:rPr>
          <w:bCs/>
          <w:i/>
          <w:lang w:val="en-US"/>
        </w:rPr>
        <w:t>governance board</w:t>
      </w:r>
      <w:r w:rsidRPr="0040769B">
        <w:rPr>
          <w:bCs/>
          <w:i/>
          <w:lang w:val="en-US"/>
        </w:rPr>
        <w:t xml:space="preserve"> or headteacher to decide which standards are most appropriate. </w:t>
      </w:r>
    </w:p>
    <w:p w14:paraId="413D0171" w14:textId="77777777" w:rsidR="00012A4F" w:rsidRDefault="00012A4F" w:rsidP="00A35D38">
      <w:pPr>
        <w:ind w:left="720"/>
        <w:rPr>
          <w:bCs/>
          <w:i/>
          <w:lang w:val="en-US"/>
        </w:rPr>
      </w:pPr>
    </w:p>
    <w:p w14:paraId="5C6D1D59" w14:textId="77777777" w:rsidR="00B25ED3" w:rsidRDefault="00B0178D" w:rsidP="00A35D38">
      <w:pPr>
        <w:rPr>
          <w:rFonts w:ascii="Arial Unicode MS" w:eastAsia="Arial Unicode MS" w:hAnsi="Arial Unicode MS" w:cs="Arial Unicode MS"/>
          <w:b/>
          <w:color w:val="006666"/>
          <w:sz w:val="32"/>
          <w:szCs w:val="32"/>
          <w:lang w:eastAsia="en-GB"/>
        </w:rPr>
      </w:pPr>
      <w:r>
        <w:rPr>
          <w:rFonts w:ascii="Arial Unicode MS" w:eastAsia="Arial Unicode MS" w:hAnsi="Arial Unicode MS" w:cs="Arial Unicode MS"/>
          <w:b/>
          <w:color w:val="006666"/>
          <w:sz w:val="32"/>
          <w:szCs w:val="32"/>
          <w:lang w:eastAsia="en-GB"/>
        </w:rPr>
        <w:t xml:space="preserve">        </w:t>
      </w:r>
    </w:p>
    <w:p w14:paraId="740E0A49" w14:textId="77777777" w:rsidR="0037559A" w:rsidRDefault="0037559A" w:rsidP="00B25ED3">
      <w:pPr>
        <w:ind w:firstLine="720"/>
        <w:rPr>
          <w:rFonts w:ascii="Arial Unicode MS" w:eastAsia="Arial Unicode MS" w:hAnsi="Arial Unicode MS" w:cs="Arial Unicode MS"/>
          <w:b/>
          <w:color w:val="006666"/>
          <w:sz w:val="32"/>
          <w:szCs w:val="32"/>
          <w:lang w:eastAsia="en-GB"/>
        </w:rPr>
      </w:pPr>
    </w:p>
    <w:p w14:paraId="610BBC3E" w14:textId="361C3AF1" w:rsidR="006D5A47" w:rsidRPr="0088562F" w:rsidRDefault="001957B8" w:rsidP="00B25ED3">
      <w:pPr>
        <w:ind w:firstLine="720"/>
        <w:rPr>
          <w:rFonts w:ascii="Arial Unicode MS" w:eastAsia="Arial Unicode MS" w:hAnsi="Arial Unicode MS" w:cs="Arial Unicode MS"/>
          <w:b/>
          <w:color w:val="006666"/>
          <w:sz w:val="32"/>
          <w:szCs w:val="32"/>
          <w:lang w:eastAsia="en-GB"/>
        </w:rPr>
      </w:pPr>
      <w:r w:rsidRPr="0088562F">
        <w:rPr>
          <w:rFonts w:ascii="Arial Unicode MS" w:eastAsia="Arial Unicode MS" w:hAnsi="Arial Unicode MS" w:cs="Arial Unicode MS"/>
          <w:b/>
          <w:color w:val="006666"/>
          <w:sz w:val="32"/>
          <w:szCs w:val="32"/>
          <w:lang w:eastAsia="en-GB"/>
        </w:rPr>
        <w:lastRenderedPageBreak/>
        <w:t>Reviewing Performance</w:t>
      </w:r>
    </w:p>
    <w:p w14:paraId="1A41795B" w14:textId="77777777" w:rsidR="001957B8" w:rsidRDefault="001957B8" w:rsidP="001957B8">
      <w:pPr>
        <w:rPr>
          <w:b/>
          <w:color w:val="FF0000"/>
          <w:lang w:eastAsia="en-GB"/>
        </w:rPr>
      </w:pPr>
    </w:p>
    <w:p w14:paraId="5CD961F0" w14:textId="77777777" w:rsidR="001957B8" w:rsidRDefault="001957B8" w:rsidP="0088562F">
      <w:pPr>
        <w:ind w:firstLine="720"/>
        <w:rPr>
          <w:b/>
          <w:color w:val="006666"/>
          <w:lang w:eastAsia="en-GB"/>
        </w:rPr>
      </w:pPr>
      <w:r w:rsidRPr="0088562F">
        <w:rPr>
          <w:b/>
          <w:color w:val="006666"/>
          <w:lang w:eastAsia="en-GB"/>
        </w:rPr>
        <w:t>Observation</w:t>
      </w:r>
    </w:p>
    <w:p w14:paraId="1A8F11C7" w14:textId="77777777" w:rsidR="0088562F" w:rsidRPr="0088562F" w:rsidRDefault="0088562F" w:rsidP="0088562F">
      <w:pPr>
        <w:ind w:firstLine="720"/>
        <w:rPr>
          <w:b/>
          <w:color w:val="006666"/>
          <w:lang w:eastAsia="en-GB"/>
        </w:rPr>
      </w:pPr>
    </w:p>
    <w:p w14:paraId="7DA9ADBF" w14:textId="77777777" w:rsidR="0088562F" w:rsidRDefault="001957B8" w:rsidP="0088562F">
      <w:pPr>
        <w:ind w:left="720"/>
        <w:rPr>
          <w:i/>
          <w:lang w:val="en-US"/>
        </w:rPr>
      </w:pPr>
      <w:r w:rsidRPr="0040769B">
        <w:rPr>
          <w:lang w:val="en-US"/>
        </w:rPr>
        <w:t>This school believes that observation of classroom practice and other responsibilities is important as a way of assessing teachers’ performance in order to identify any particular strengths and areas for development they may have</w:t>
      </w:r>
      <w:r>
        <w:rPr>
          <w:lang w:val="en-US"/>
        </w:rPr>
        <w:t xml:space="preserve">, </w:t>
      </w:r>
      <w:r w:rsidRPr="0040769B">
        <w:rPr>
          <w:lang w:val="en-US"/>
        </w:rPr>
        <w:t>gaining useful information which can inform school improvement more generally</w:t>
      </w:r>
      <w:r>
        <w:rPr>
          <w:lang w:val="en-US"/>
        </w:rPr>
        <w:t xml:space="preserve"> and enabling teachers to learn from each other and collaborate</w:t>
      </w:r>
      <w:r w:rsidRPr="0040769B">
        <w:rPr>
          <w:lang w:val="en-US"/>
        </w:rPr>
        <w:t>. All observation will be carried out in a supportive fashion</w:t>
      </w:r>
      <w:r>
        <w:rPr>
          <w:lang w:val="en-US"/>
        </w:rPr>
        <w:t xml:space="preserve"> and not add to teacher workload</w:t>
      </w:r>
      <w:r w:rsidRPr="0040769B">
        <w:rPr>
          <w:lang w:val="en-US"/>
        </w:rPr>
        <w:t xml:space="preserve">. </w:t>
      </w:r>
      <w:r w:rsidRPr="00437CDF">
        <w:rPr>
          <w:i/>
          <w:highlight w:val="yellow"/>
          <w:lang w:val="en-US"/>
        </w:rPr>
        <w:t>(Schools may like to be more specific here about how observations will be conducted – or to refer to any separate document that clarifies how classroom observation will be conducted in their school).</w:t>
      </w:r>
      <w:r w:rsidR="0088562F">
        <w:rPr>
          <w:i/>
          <w:lang w:val="en-US"/>
        </w:rPr>
        <w:t xml:space="preserve"> </w:t>
      </w:r>
    </w:p>
    <w:p w14:paraId="717B69E7" w14:textId="77777777" w:rsidR="0088562F" w:rsidRDefault="0088562F" w:rsidP="0088562F">
      <w:pPr>
        <w:ind w:left="720"/>
        <w:rPr>
          <w:i/>
          <w:lang w:val="en-US"/>
        </w:rPr>
      </w:pPr>
    </w:p>
    <w:p w14:paraId="269AA3F4" w14:textId="77777777" w:rsidR="001957B8" w:rsidRPr="00DD4FDE" w:rsidRDefault="0088562F" w:rsidP="0088562F">
      <w:pPr>
        <w:ind w:left="720"/>
        <w:rPr>
          <w:b/>
          <w:color w:val="006666"/>
          <w:lang w:val="en-US"/>
        </w:rPr>
      </w:pPr>
      <w:r w:rsidRPr="00DD4FDE">
        <w:rPr>
          <w:b/>
          <w:color w:val="006666"/>
          <w:lang w:val="en-US"/>
        </w:rPr>
        <w:t>Development and support</w:t>
      </w:r>
    </w:p>
    <w:p w14:paraId="159083D0" w14:textId="77777777" w:rsidR="001957B8" w:rsidRPr="0040769B" w:rsidRDefault="001957B8" w:rsidP="001957B8">
      <w:pPr>
        <w:pStyle w:val="Heading3"/>
        <w:rPr>
          <w:lang w:val="en-US"/>
        </w:rPr>
      </w:pPr>
      <w:bookmarkStart w:id="9" w:name="_Toc380481032"/>
      <w:bookmarkStart w:id="10" w:name="_Toc2085611"/>
      <w:r w:rsidRPr="0040769B">
        <w:t>Develop</w:t>
      </w:r>
      <w:r w:rsidR="0088562F">
        <w:tab/>
      </w:r>
      <w:bookmarkEnd w:id="9"/>
      <w:bookmarkEnd w:id="10"/>
    </w:p>
    <w:p w14:paraId="641D7091" w14:textId="77777777" w:rsidR="0088562F" w:rsidRDefault="001957B8" w:rsidP="0088562F">
      <w:pPr>
        <w:ind w:left="720"/>
        <w:rPr>
          <w:lang w:val="en-US"/>
        </w:rPr>
      </w:pPr>
      <w:r w:rsidRPr="0040769B">
        <w:rPr>
          <w:lang w:val="en-US"/>
        </w:rPr>
        <w:t xml:space="preserve">Appraisal is a supportive process which </w:t>
      </w:r>
      <w:r>
        <w:rPr>
          <w:lang w:val="en-US"/>
        </w:rPr>
        <w:t xml:space="preserve">will be used to determine decisions on pay progression and </w:t>
      </w:r>
      <w:r w:rsidRPr="0040769B">
        <w:rPr>
          <w:lang w:val="en-US"/>
        </w:rPr>
        <w:t xml:space="preserve">inform continuing professional development. The school wishes to encourage a culture in which all teachers take responsibility for improving their teaching through appropriate professional development. Professional development will be linked to school improvement priorities and to the ongoing professional development needs and priorities of individual teachers. </w:t>
      </w:r>
    </w:p>
    <w:p w14:paraId="587458BF" w14:textId="77777777" w:rsidR="0088562F" w:rsidRDefault="0088562F" w:rsidP="0088562F">
      <w:pPr>
        <w:ind w:left="720"/>
        <w:rPr>
          <w:lang w:val="en-US"/>
        </w:rPr>
      </w:pPr>
    </w:p>
    <w:p w14:paraId="027D6AB6" w14:textId="77777777" w:rsidR="001957B8" w:rsidRPr="00DD4FDE" w:rsidRDefault="0088562F" w:rsidP="0088562F">
      <w:pPr>
        <w:ind w:left="720"/>
        <w:rPr>
          <w:b/>
          <w:color w:val="006666"/>
          <w:lang w:val="en-US"/>
        </w:rPr>
      </w:pPr>
      <w:r w:rsidRPr="00DD4FDE">
        <w:rPr>
          <w:b/>
          <w:color w:val="006666"/>
          <w:lang w:val="en-US"/>
        </w:rPr>
        <w:t>Feedback</w:t>
      </w:r>
    </w:p>
    <w:p w14:paraId="20737AFF" w14:textId="77777777" w:rsidR="001957B8" w:rsidRPr="0040769B" w:rsidRDefault="001957B8" w:rsidP="001957B8">
      <w:pPr>
        <w:pStyle w:val="Heading3"/>
        <w:rPr>
          <w:lang w:val="en-US"/>
        </w:rPr>
      </w:pPr>
      <w:bookmarkStart w:id="11" w:name="_Toc380481033"/>
      <w:bookmarkStart w:id="12" w:name="_Toc2085612"/>
      <w:r w:rsidRPr="0040769B">
        <w:t>Feedback</w:t>
      </w:r>
      <w:bookmarkEnd w:id="11"/>
      <w:bookmarkEnd w:id="12"/>
    </w:p>
    <w:p w14:paraId="094248EE" w14:textId="77777777" w:rsidR="001957B8" w:rsidRDefault="001957B8" w:rsidP="0088562F">
      <w:pPr>
        <w:ind w:left="720"/>
        <w:rPr>
          <w:lang w:val="en-US"/>
        </w:rPr>
      </w:pPr>
      <w:r w:rsidRPr="0040769B">
        <w:rPr>
          <w:lang w:val="en-US"/>
        </w:rPr>
        <w:t>Teachers will receive constructive feedback</w:t>
      </w:r>
      <w:r>
        <w:rPr>
          <w:lang w:val="en-US"/>
        </w:rPr>
        <w:t xml:space="preserve"> </w:t>
      </w:r>
      <w:r w:rsidRPr="0040769B">
        <w:rPr>
          <w:lang w:val="en-US"/>
        </w:rPr>
        <w:t xml:space="preserve">on their performance throughout the year and as soon as practicable after observation has taken place or other evidence has come to light. Feedback will highlight particular areas of strength as well as any areas that </w:t>
      </w:r>
      <w:r>
        <w:rPr>
          <w:lang w:val="en-US"/>
        </w:rPr>
        <w:t>require further development</w:t>
      </w:r>
      <w:r w:rsidRPr="0040769B">
        <w:rPr>
          <w:lang w:val="en-US"/>
        </w:rPr>
        <w:t>. Where there are concerns about any aspects of the teacher’s performance the appraiser will meet the teacher formally to:</w:t>
      </w:r>
    </w:p>
    <w:p w14:paraId="4EF49718" w14:textId="77777777" w:rsidR="0088562F" w:rsidRDefault="0088562F" w:rsidP="0088562F">
      <w:pPr>
        <w:ind w:left="720"/>
        <w:rPr>
          <w:lang w:val="en-US"/>
        </w:rPr>
      </w:pPr>
    </w:p>
    <w:p w14:paraId="18555C3F" w14:textId="77777777" w:rsidR="001957B8" w:rsidRPr="0088562F" w:rsidRDefault="0088562F" w:rsidP="002B0F88">
      <w:pPr>
        <w:pStyle w:val="ListParagraph"/>
        <w:numPr>
          <w:ilvl w:val="0"/>
          <w:numId w:val="2"/>
        </w:numPr>
        <w:tabs>
          <w:tab w:val="num" w:pos="360"/>
          <w:tab w:val="num" w:pos="720"/>
        </w:tabs>
        <w:spacing w:after="240" w:line="288" w:lineRule="auto"/>
        <w:ind w:left="720"/>
        <w:rPr>
          <w:lang w:val="en-US"/>
        </w:rPr>
      </w:pPr>
      <w:r w:rsidRPr="0088562F">
        <w:rPr>
          <w:lang w:val="en-US"/>
        </w:rPr>
        <w:t xml:space="preserve">give </w:t>
      </w:r>
      <w:r w:rsidR="001957B8" w:rsidRPr="0088562F">
        <w:rPr>
          <w:lang w:val="en-US"/>
        </w:rPr>
        <w:t>clear feedback to the teacher about the nature and seriousness of the concerns;</w:t>
      </w:r>
    </w:p>
    <w:p w14:paraId="1DC09F47" w14:textId="77777777" w:rsidR="001957B8" w:rsidRDefault="001957B8" w:rsidP="002B0F88">
      <w:pPr>
        <w:numPr>
          <w:ilvl w:val="0"/>
          <w:numId w:val="2"/>
        </w:numPr>
        <w:tabs>
          <w:tab w:val="num" w:pos="360"/>
          <w:tab w:val="num" w:pos="720"/>
        </w:tabs>
        <w:spacing w:after="240" w:line="288" w:lineRule="auto"/>
        <w:ind w:left="720"/>
        <w:rPr>
          <w:lang w:val="en-US"/>
        </w:rPr>
      </w:pPr>
      <w:r w:rsidRPr="0040769B">
        <w:rPr>
          <w:lang w:val="en-US"/>
        </w:rPr>
        <w:t>give the teacher the opportunity to comment and discuss the concerns;</w:t>
      </w:r>
    </w:p>
    <w:p w14:paraId="01AB17BA" w14:textId="77777777" w:rsidR="001957B8" w:rsidRPr="0040769B" w:rsidRDefault="001957B8" w:rsidP="002B0F88">
      <w:pPr>
        <w:numPr>
          <w:ilvl w:val="0"/>
          <w:numId w:val="2"/>
        </w:numPr>
        <w:tabs>
          <w:tab w:val="num" w:pos="360"/>
          <w:tab w:val="num" w:pos="720"/>
        </w:tabs>
        <w:spacing w:after="240" w:line="288" w:lineRule="auto"/>
        <w:ind w:left="720"/>
        <w:rPr>
          <w:lang w:val="en-US"/>
        </w:rPr>
      </w:pPr>
      <w:r>
        <w:rPr>
          <w:lang w:val="en-US"/>
        </w:rPr>
        <w:t>set clear objectives for required improvement;</w:t>
      </w:r>
    </w:p>
    <w:p w14:paraId="1BB9DF23" w14:textId="77777777" w:rsidR="001957B8" w:rsidRPr="0040769B" w:rsidRDefault="001957B8" w:rsidP="002B0F88">
      <w:pPr>
        <w:numPr>
          <w:ilvl w:val="0"/>
          <w:numId w:val="2"/>
        </w:numPr>
        <w:tabs>
          <w:tab w:val="num" w:pos="360"/>
          <w:tab w:val="num" w:pos="720"/>
        </w:tabs>
        <w:spacing w:after="240" w:line="288" w:lineRule="auto"/>
        <w:ind w:left="720"/>
        <w:rPr>
          <w:lang w:val="en-US"/>
        </w:rPr>
      </w:pPr>
      <w:r w:rsidRPr="0040769B">
        <w:rPr>
          <w:lang w:val="en-US"/>
        </w:rPr>
        <w:t xml:space="preserve">agree any support (e.g. coaching, mentoring, structured observations), that will be provided to help address those specific concerns; </w:t>
      </w:r>
    </w:p>
    <w:p w14:paraId="44B20DC5" w14:textId="77777777" w:rsidR="001957B8" w:rsidRPr="0040769B" w:rsidRDefault="001957B8" w:rsidP="002B0F88">
      <w:pPr>
        <w:numPr>
          <w:ilvl w:val="0"/>
          <w:numId w:val="2"/>
        </w:numPr>
        <w:tabs>
          <w:tab w:val="num" w:pos="360"/>
          <w:tab w:val="num" w:pos="720"/>
        </w:tabs>
        <w:spacing w:after="240" w:line="288" w:lineRule="auto"/>
        <w:ind w:left="720"/>
        <w:rPr>
          <w:lang w:val="en-US"/>
        </w:rPr>
      </w:pPr>
      <w:r w:rsidRPr="0040769B">
        <w:rPr>
          <w:lang w:val="en-US"/>
        </w:rPr>
        <w:t xml:space="preserve">make clear how, and by when, the appraiser will review progress </w:t>
      </w:r>
      <w:r w:rsidRPr="0040769B">
        <w:rPr>
          <w:i/>
          <w:lang w:val="en-US"/>
        </w:rPr>
        <w:t>(it may be appropriate to revise objectives, and it will be necessary to allow sufficient time for improvement. The amount of time is up to the school but should reflect the seriousness of the concerns)</w:t>
      </w:r>
      <w:r w:rsidRPr="0040769B">
        <w:rPr>
          <w:lang w:val="en-US"/>
        </w:rPr>
        <w:t>;</w:t>
      </w:r>
    </w:p>
    <w:p w14:paraId="7DC7170E" w14:textId="77777777" w:rsidR="001957B8" w:rsidRPr="0040769B" w:rsidRDefault="001957B8" w:rsidP="002B0F88">
      <w:pPr>
        <w:numPr>
          <w:ilvl w:val="0"/>
          <w:numId w:val="2"/>
        </w:numPr>
        <w:tabs>
          <w:tab w:val="num" w:pos="360"/>
          <w:tab w:val="num" w:pos="720"/>
        </w:tabs>
        <w:spacing w:after="240" w:line="288" w:lineRule="auto"/>
        <w:ind w:left="720"/>
        <w:rPr>
          <w:lang w:val="en-US"/>
        </w:rPr>
      </w:pPr>
      <w:r w:rsidRPr="0040769B">
        <w:rPr>
          <w:lang w:val="en-US"/>
        </w:rPr>
        <w:t>explain the implications and process if no</w:t>
      </w:r>
      <w:r>
        <w:rPr>
          <w:lang w:val="en-US"/>
        </w:rPr>
        <w:t xml:space="preserve">, </w:t>
      </w:r>
      <w:r w:rsidRPr="0040769B">
        <w:rPr>
          <w:lang w:val="en-US"/>
        </w:rPr>
        <w:t>or insufficient</w:t>
      </w:r>
      <w:r>
        <w:rPr>
          <w:lang w:val="en-US"/>
        </w:rPr>
        <w:t xml:space="preserve">, </w:t>
      </w:r>
      <w:r w:rsidRPr="0040769B">
        <w:rPr>
          <w:lang w:val="en-US"/>
        </w:rPr>
        <w:t>improvement is made</w:t>
      </w:r>
      <w:r>
        <w:rPr>
          <w:lang w:val="en-US"/>
        </w:rPr>
        <w:t xml:space="preserve"> – e.g., impact on pay progression and potential move to formal capability</w:t>
      </w:r>
      <w:r w:rsidRPr="0040769B">
        <w:rPr>
          <w:lang w:val="en-US"/>
        </w:rPr>
        <w:t>.</w:t>
      </w:r>
    </w:p>
    <w:p w14:paraId="59CC61C8" w14:textId="77777777" w:rsidR="001957B8" w:rsidRDefault="001957B8" w:rsidP="005A5427">
      <w:pPr>
        <w:ind w:left="720"/>
        <w:rPr>
          <w:lang w:val="en-US"/>
        </w:rPr>
      </w:pPr>
      <w:r w:rsidRPr="0040769B">
        <w:rPr>
          <w:lang w:val="en-US"/>
        </w:rPr>
        <w:t xml:space="preserve">When progress is reviewed, if the appraiser is satisfied that the teacher has made, or is making, sufficient improvement, the appraisal process will continue as normal, with any remaining issues continuing to be addressed though that process. </w:t>
      </w:r>
    </w:p>
    <w:p w14:paraId="10D00C80" w14:textId="77777777" w:rsidR="0088562F" w:rsidRDefault="0088562F" w:rsidP="001957B8">
      <w:pPr>
        <w:rPr>
          <w:lang w:val="en-US"/>
        </w:rPr>
      </w:pPr>
    </w:p>
    <w:p w14:paraId="187C51FC" w14:textId="77777777" w:rsidR="0088562F" w:rsidRPr="00DD4FDE" w:rsidRDefault="0088562F" w:rsidP="005A5427">
      <w:pPr>
        <w:ind w:firstLine="720"/>
        <w:rPr>
          <w:b/>
          <w:color w:val="006666"/>
          <w:lang w:val="en-US"/>
        </w:rPr>
      </w:pPr>
      <w:r w:rsidRPr="00DD4FDE">
        <w:rPr>
          <w:b/>
          <w:color w:val="006666"/>
          <w:lang w:val="en-US"/>
        </w:rPr>
        <w:lastRenderedPageBreak/>
        <w:t>Evidence</w:t>
      </w:r>
    </w:p>
    <w:p w14:paraId="7461EEF6" w14:textId="77777777" w:rsidR="001957B8" w:rsidRPr="0040769B" w:rsidRDefault="001957B8" w:rsidP="001957B8">
      <w:pPr>
        <w:pStyle w:val="Heading3"/>
        <w:rPr>
          <w:lang w:val="en-US"/>
        </w:rPr>
      </w:pPr>
      <w:bookmarkStart w:id="13" w:name="_Toc2085613"/>
      <w:r>
        <w:t>Evidence</w:t>
      </w:r>
      <w:bookmarkEnd w:id="13"/>
    </w:p>
    <w:p w14:paraId="6C1938F8" w14:textId="77777777" w:rsidR="001957B8" w:rsidRPr="0040769B" w:rsidRDefault="001957B8" w:rsidP="005A5427">
      <w:pPr>
        <w:ind w:left="720"/>
        <w:rPr>
          <w:lang w:val="en-US"/>
        </w:rPr>
      </w:pPr>
      <w:r>
        <w:t>The range and level of e</w:t>
      </w:r>
      <w:r w:rsidRPr="00D21185">
        <w:t xml:space="preserve">vidence </w:t>
      </w:r>
      <w:r>
        <w:t xml:space="preserve">collected for appraisal and </w:t>
      </w:r>
      <w:r w:rsidRPr="00D21185">
        <w:t xml:space="preserve">pay determination purposes </w:t>
      </w:r>
      <w:r>
        <w:t>will always be proportionate and minimise</w:t>
      </w:r>
      <w:r w:rsidRPr="00D21185">
        <w:t xml:space="preserve"> </w:t>
      </w:r>
      <w:r>
        <w:t>workload</w:t>
      </w:r>
      <w:r w:rsidRPr="00D21185">
        <w:t>.</w:t>
      </w:r>
    </w:p>
    <w:p w14:paraId="1EAB67A0" w14:textId="77777777" w:rsidR="006D5A47" w:rsidRDefault="006D5A47" w:rsidP="006D5A47">
      <w:pPr>
        <w:ind w:left="720"/>
        <w:rPr>
          <w:b/>
          <w:i/>
          <w:color w:val="FF0000"/>
          <w:lang w:eastAsia="en-GB"/>
        </w:rPr>
      </w:pPr>
    </w:p>
    <w:p w14:paraId="30B31D66" w14:textId="77777777" w:rsidR="005A5427" w:rsidRPr="005A5427" w:rsidRDefault="00B0178D" w:rsidP="005A5427">
      <w:pPr>
        <w:rPr>
          <w:rFonts w:ascii="Arial Unicode MS" w:eastAsia="Arial Unicode MS" w:hAnsi="Arial Unicode MS" w:cs="Arial Unicode MS"/>
          <w:color w:val="006666"/>
          <w:sz w:val="32"/>
          <w:szCs w:val="32"/>
          <w:lang w:eastAsia="en-GB"/>
        </w:rPr>
      </w:pPr>
      <w:r>
        <w:rPr>
          <w:rFonts w:ascii="Arial Unicode MS" w:eastAsia="Arial Unicode MS" w:hAnsi="Arial Unicode MS" w:cs="Arial Unicode MS"/>
          <w:b/>
          <w:color w:val="006666"/>
          <w:sz w:val="32"/>
          <w:szCs w:val="32"/>
          <w:lang w:eastAsia="en-GB"/>
        </w:rPr>
        <w:t xml:space="preserve">4. </w:t>
      </w:r>
      <w:r w:rsidR="005A5427">
        <w:rPr>
          <w:rFonts w:ascii="Arial Unicode MS" w:eastAsia="Arial Unicode MS" w:hAnsi="Arial Unicode MS" w:cs="Arial Unicode MS"/>
          <w:b/>
          <w:color w:val="006666"/>
          <w:sz w:val="32"/>
          <w:szCs w:val="32"/>
          <w:lang w:eastAsia="en-GB"/>
        </w:rPr>
        <w:t xml:space="preserve">   </w:t>
      </w:r>
      <w:r w:rsidR="005A5427" w:rsidRPr="005A5427">
        <w:rPr>
          <w:rFonts w:ascii="Arial Unicode MS" w:eastAsia="Arial Unicode MS" w:hAnsi="Arial Unicode MS" w:cs="Arial Unicode MS"/>
          <w:b/>
          <w:color w:val="006666"/>
          <w:sz w:val="32"/>
          <w:szCs w:val="32"/>
          <w:lang w:eastAsia="en-GB"/>
        </w:rPr>
        <w:t>Transition to capability</w:t>
      </w:r>
      <w:r w:rsidR="005A5427" w:rsidRPr="005A5427">
        <w:rPr>
          <w:rFonts w:ascii="Arial Unicode MS" w:eastAsia="Arial Unicode MS" w:hAnsi="Arial Unicode MS" w:cs="Arial Unicode MS"/>
          <w:color w:val="006666"/>
          <w:sz w:val="32"/>
          <w:szCs w:val="32"/>
          <w:lang w:eastAsia="en-GB"/>
        </w:rPr>
        <w:t xml:space="preserve"> </w:t>
      </w:r>
    </w:p>
    <w:p w14:paraId="627B9557" w14:textId="77777777" w:rsidR="005A5427" w:rsidRDefault="005A5427" w:rsidP="005A5427">
      <w:pPr>
        <w:ind w:left="720"/>
        <w:rPr>
          <w:color w:val="FF0000"/>
          <w:lang w:eastAsia="en-GB"/>
        </w:rPr>
      </w:pPr>
    </w:p>
    <w:p w14:paraId="3A1D08CB" w14:textId="77777777" w:rsidR="005A5427" w:rsidRPr="00DD4FDE" w:rsidRDefault="005A5427" w:rsidP="005A5427">
      <w:pPr>
        <w:ind w:left="720"/>
        <w:rPr>
          <w:lang w:val="en-US" w:eastAsia="en-GB"/>
        </w:rPr>
      </w:pPr>
      <w:r w:rsidRPr="00DD4FDE">
        <w:rPr>
          <w:lang w:val="en-US" w:eastAsia="en-GB"/>
        </w:rPr>
        <w:t xml:space="preserve">If </w:t>
      </w:r>
      <w:r w:rsidR="00DD4FDE" w:rsidRPr="00DD4FDE">
        <w:rPr>
          <w:lang w:val="en-US" w:eastAsia="en-GB"/>
        </w:rPr>
        <w:t>a teacher demonstrates serious underperformance and has not responded to support provided within the appraisal process, the teacher will be notified in writing that the appraisal system wi</w:t>
      </w:r>
      <w:r w:rsidRPr="00DD4FDE">
        <w:rPr>
          <w:lang w:val="en-US" w:eastAsia="en-GB"/>
        </w:rPr>
        <w:t xml:space="preserve">ll no longer apply and that their performance will be managed under the capability procedure, and will be invited to a formal capability meeting.  The capability procedures will be conducted as per the Capability policy.  </w:t>
      </w:r>
    </w:p>
    <w:p w14:paraId="06E71397" w14:textId="77777777" w:rsidR="005A5427" w:rsidRDefault="005A5427" w:rsidP="006D5A47">
      <w:pPr>
        <w:ind w:left="720"/>
        <w:rPr>
          <w:b/>
          <w:i/>
          <w:color w:val="FF0000"/>
          <w:lang w:eastAsia="en-GB"/>
        </w:rPr>
      </w:pPr>
    </w:p>
    <w:p w14:paraId="69E7320A" w14:textId="77777777" w:rsidR="003C2A78" w:rsidRPr="005A5427" w:rsidRDefault="00B0178D" w:rsidP="003C2A78">
      <w:pPr>
        <w:rPr>
          <w:rFonts w:ascii="Arial Unicode MS" w:eastAsia="Arial Unicode MS" w:hAnsi="Arial Unicode MS" w:cs="Arial Unicode MS"/>
          <w:color w:val="006666"/>
          <w:sz w:val="32"/>
          <w:szCs w:val="32"/>
          <w:lang w:eastAsia="en-GB"/>
        </w:rPr>
      </w:pPr>
      <w:r>
        <w:rPr>
          <w:rFonts w:ascii="Arial Unicode MS" w:eastAsia="Arial Unicode MS" w:hAnsi="Arial Unicode MS" w:cs="Arial Unicode MS"/>
          <w:b/>
          <w:color w:val="006666"/>
          <w:sz w:val="32"/>
          <w:szCs w:val="32"/>
          <w:lang w:eastAsia="en-GB"/>
        </w:rPr>
        <w:t xml:space="preserve">5.     </w:t>
      </w:r>
      <w:r w:rsidR="003C2A78">
        <w:rPr>
          <w:rFonts w:ascii="Arial Unicode MS" w:eastAsia="Arial Unicode MS" w:hAnsi="Arial Unicode MS" w:cs="Arial Unicode MS"/>
          <w:b/>
          <w:color w:val="006666"/>
          <w:sz w:val="32"/>
          <w:szCs w:val="32"/>
          <w:lang w:eastAsia="en-GB"/>
        </w:rPr>
        <w:t>Annual Assessment</w:t>
      </w:r>
      <w:r w:rsidR="003C2A78" w:rsidRPr="005A5427">
        <w:rPr>
          <w:rFonts w:ascii="Arial Unicode MS" w:eastAsia="Arial Unicode MS" w:hAnsi="Arial Unicode MS" w:cs="Arial Unicode MS"/>
          <w:color w:val="006666"/>
          <w:sz w:val="32"/>
          <w:szCs w:val="32"/>
          <w:lang w:eastAsia="en-GB"/>
        </w:rPr>
        <w:t xml:space="preserve"> </w:t>
      </w:r>
    </w:p>
    <w:p w14:paraId="65778D96" w14:textId="77777777" w:rsidR="009B02A0" w:rsidRPr="00B90227" w:rsidRDefault="009B02A0" w:rsidP="006D5A47">
      <w:pPr>
        <w:ind w:left="720"/>
        <w:rPr>
          <w:bCs/>
          <w:color w:val="FF0000"/>
          <w:lang w:val="en-US" w:eastAsia="en-GB"/>
        </w:rPr>
      </w:pPr>
    </w:p>
    <w:p w14:paraId="367F992C" w14:textId="77777777" w:rsidR="001957B8" w:rsidRDefault="001957B8" w:rsidP="001957B8">
      <w:pPr>
        <w:ind w:left="720"/>
        <w:rPr>
          <w:b/>
        </w:rPr>
      </w:pPr>
      <w:r w:rsidRPr="0040769B">
        <w:rPr>
          <w:b/>
        </w:rPr>
        <w:t>Each teacher's performance will be formally assessed in respect of each appraisal period. In assessing the performance of the headteacher, the</w:t>
      </w:r>
      <w:r>
        <w:rPr>
          <w:b/>
        </w:rPr>
        <w:t xml:space="preserve"> governance board</w:t>
      </w:r>
      <w:r w:rsidRPr="0040769B">
        <w:rPr>
          <w:b/>
        </w:rPr>
        <w:t xml:space="preserve"> must consult the external adviser.</w:t>
      </w:r>
    </w:p>
    <w:p w14:paraId="5823F31E" w14:textId="77777777" w:rsidR="00DD4FDE" w:rsidRPr="0040769B" w:rsidRDefault="00DD4FDE" w:rsidP="001957B8">
      <w:pPr>
        <w:ind w:left="720"/>
        <w:rPr>
          <w:b/>
        </w:rPr>
      </w:pPr>
    </w:p>
    <w:p w14:paraId="7632A055" w14:textId="5767FE6B" w:rsidR="001957B8" w:rsidRDefault="001957B8" w:rsidP="001957B8">
      <w:pPr>
        <w:ind w:left="720"/>
        <w:rPr>
          <w:i/>
        </w:rPr>
      </w:pPr>
      <w:r w:rsidRPr="0040769B">
        <w:t>This assessment is the end point to the annual appraisal process, but performance and development priorities will be reviewed and addressed on a regular basis throughout the year in interim meetings which will take place</w:t>
      </w:r>
      <w:r w:rsidR="00437CDF">
        <w:t xml:space="preserve"> </w:t>
      </w:r>
      <w:r w:rsidR="00437CDF" w:rsidRPr="00437CDF">
        <w:rPr>
          <w:highlight w:val="yellow"/>
        </w:rPr>
        <w:t>once a term</w:t>
      </w:r>
      <w:r w:rsidRPr="0040769B">
        <w:rPr>
          <w:i/>
        </w:rPr>
        <w:t xml:space="preserve">. </w:t>
      </w:r>
    </w:p>
    <w:p w14:paraId="0F3DE64D" w14:textId="77777777" w:rsidR="00DD4FDE" w:rsidRPr="0040769B" w:rsidRDefault="00DD4FDE" w:rsidP="001957B8">
      <w:pPr>
        <w:ind w:left="720"/>
        <w:rPr>
          <w:i/>
        </w:rPr>
      </w:pPr>
    </w:p>
    <w:p w14:paraId="54B8D08B" w14:textId="77777777" w:rsidR="001957B8" w:rsidRDefault="001957B8" w:rsidP="003C2A78">
      <w:pPr>
        <w:ind w:left="720"/>
        <w:rPr>
          <w:b/>
        </w:rPr>
      </w:pPr>
      <w:r w:rsidRPr="0040769B">
        <w:rPr>
          <w:b/>
        </w:rPr>
        <w:t>The teacher will receive</w:t>
      </w:r>
      <w:r w:rsidRPr="0040769B">
        <w:t xml:space="preserve"> </w:t>
      </w:r>
      <w:r w:rsidRPr="0040769B">
        <w:rPr>
          <w:b/>
        </w:rPr>
        <w:t xml:space="preserve">as soon as practicable following the end of each appraisal period </w:t>
      </w:r>
      <w:r w:rsidRPr="0040769B">
        <w:t xml:space="preserve">– and have the opportunity to comment on </w:t>
      </w:r>
      <w:r>
        <w:t>–</w:t>
      </w:r>
      <w:r w:rsidRPr="0040769B">
        <w:t xml:space="preserve"> </w:t>
      </w:r>
      <w:r w:rsidRPr="0040769B">
        <w:rPr>
          <w:b/>
        </w:rPr>
        <w:t>a</w:t>
      </w:r>
      <w:r>
        <w:rPr>
          <w:b/>
        </w:rPr>
        <w:t>n</w:t>
      </w:r>
      <w:r w:rsidRPr="0040769B">
        <w:rPr>
          <w:b/>
        </w:rPr>
        <w:t xml:space="preserve"> appraisal report</w:t>
      </w:r>
      <w:r>
        <w:rPr>
          <w:b/>
        </w:rPr>
        <w:t xml:space="preserve"> (in practice the report could be produced using online performance management systems, which can help to reduce workload</w:t>
      </w:r>
      <w:r w:rsidRPr="0040769B">
        <w:t>.</w:t>
      </w:r>
      <w:r>
        <w:t xml:space="preserve"> I</w:t>
      </w:r>
      <w:r w:rsidRPr="0040769B">
        <w:t>n this school, teachers will receive their appraisal reports by 31 October (31 December for the headteacher).</w:t>
      </w:r>
      <w:r w:rsidRPr="0040769B">
        <w:rPr>
          <w:b/>
        </w:rPr>
        <w:t xml:space="preserve"> The appraisal report will include:</w:t>
      </w:r>
    </w:p>
    <w:p w14:paraId="512543A8" w14:textId="77777777" w:rsidR="00B4672E" w:rsidRDefault="00B4672E" w:rsidP="003C2A78">
      <w:pPr>
        <w:ind w:left="720"/>
        <w:rPr>
          <w:b/>
        </w:rPr>
      </w:pPr>
    </w:p>
    <w:p w14:paraId="1DA151BC" w14:textId="77777777" w:rsidR="00B4672E" w:rsidRDefault="00B4672E" w:rsidP="00B4672E">
      <w:pPr>
        <w:pStyle w:val="ListParagraph"/>
        <w:numPr>
          <w:ilvl w:val="0"/>
          <w:numId w:val="8"/>
        </w:numPr>
        <w:rPr>
          <w:b/>
        </w:rPr>
      </w:pPr>
      <w:r w:rsidRPr="00437CDF">
        <w:t>details</w:t>
      </w:r>
      <w:r w:rsidRPr="00B4672E">
        <w:t xml:space="preserve"> of the teacher’s objectives for the appraisal period in question</w:t>
      </w:r>
    </w:p>
    <w:p w14:paraId="50C95AA2" w14:textId="77777777" w:rsidR="00B4672E" w:rsidRDefault="00B4672E" w:rsidP="00B4672E">
      <w:pPr>
        <w:pStyle w:val="ListParagraph"/>
        <w:ind w:left="1440"/>
        <w:rPr>
          <w:b/>
        </w:rPr>
      </w:pPr>
    </w:p>
    <w:p w14:paraId="57A6E1AD" w14:textId="77777777" w:rsidR="00B4672E" w:rsidRDefault="00B4672E" w:rsidP="00B4672E">
      <w:pPr>
        <w:pStyle w:val="ListParagraph"/>
        <w:numPr>
          <w:ilvl w:val="0"/>
          <w:numId w:val="8"/>
        </w:numPr>
        <w:rPr>
          <w:b/>
        </w:rPr>
      </w:pPr>
      <w:r>
        <w:rPr>
          <w:b/>
        </w:rPr>
        <w:t>an assessment of the teacher’s performance of their role and responsibilities against their objectives and the relevant standards:</w:t>
      </w:r>
    </w:p>
    <w:p w14:paraId="382C881C" w14:textId="77777777" w:rsidR="00B4672E" w:rsidRPr="00B4672E" w:rsidRDefault="00B4672E" w:rsidP="00B4672E">
      <w:pPr>
        <w:pStyle w:val="ListParagraph"/>
        <w:rPr>
          <w:b/>
        </w:rPr>
      </w:pPr>
    </w:p>
    <w:p w14:paraId="1F6E60FB" w14:textId="77777777" w:rsidR="00B4672E" w:rsidRDefault="00B4672E" w:rsidP="00B4672E">
      <w:pPr>
        <w:pStyle w:val="ListParagraph"/>
        <w:numPr>
          <w:ilvl w:val="0"/>
          <w:numId w:val="8"/>
        </w:numPr>
        <w:rPr>
          <w:b/>
        </w:rPr>
      </w:pPr>
      <w:r>
        <w:rPr>
          <w:b/>
        </w:rPr>
        <w:t>an assessment of the teacher’s professional development needs and identification of any action that should be taken to address them;</w:t>
      </w:r>
    </w:p>
    <w:p w14:paraId="688B499C" w14:textId="77777777" w:rsidR="00B4672E" w:rsidRPr="00B4672E" w:rsidRDefault="00B4672E" w:rsidP="00B4672E">
      <w:pPr>
        <w:pStyle w:val="ListParagraph"/>
        <w:rPr>
          <w:b/>
        </w:rPr>
      </w:pPr>
    </w:p>
    <w:p w14:paraId="4293CA00" w14:textId="77777777" w:rsidR="00B4672E" w:rsidRPr="00B4672E" w:rsidRDefault="00B4672E" w:rsidP="00B4672E">
      <w:pPr>
        <w:pStyle w:val="ListParagraph"/>
        <w:numPr>
          <w:ilvl w:val="0"/>
          <w:numId w:val="8"/>
        </w:numPr>
      </w:pPr>
      <w:r>
        <w:rPr>
          <w:b/>
        </w:rPr>
        <w:t xml:space="preserve">a recommendation on pay where that is relevant </w:t>
      </w:r>
      <w:r w:rsidRPr="00B4672E">
        <w:t>(NB – pay recommendations need to be made by 31 December for headteachers and by 31 October for other teachers);</w:t>
      </w:r>
    </w:p>
    <w:p w14:paraId="3AB94428" w14:textId="77777777" w:rsidR="00B4672E" w:rsidRPr="00B4672E" w:rsidRDefault="00B4672E" w:rsidP="00B4672E">
      <w:pPr>
        <w:pStyle w:val="ListParagraph"/>
      </w:pPr>
    </w:p>
    <w:p w14:paraId="70788A6B" w14:textId="77777777" w:rsidR="00B4672E" w:rsidRPr="00437CDF" w:rsidRDefault="00B4672E" w:rsidP="00B4672E">
      <w:pPr>
        <w:pStyle w:val="ListParagraph"/>
        <w:numPr>
          <w:ilvl w:val="0"/>
          <w:numId w:val="8"/>
        </w:numPr>
        <w:rPr>
          <w:b/>
          <w:highlight w:val="yellow"/>
        </w:rPr>
      </w:pPr>
      <w:r w:rsidRPr="00437CDF">
        <w:rPr>
          <w:highlight w:val="yellow"/>
        </w:rPr>
        <w:t>(schools to say here what else if anything their appraisal reports will include).</w:t>
      </w:r>
    </w:p>
    <w:p w14:paraId="5B632D8B" w14:textId="77777777" w:rsidR="000B3201" w:rsidRDefault="000B3201" w:rsidP="003C2A78">
      <w:pPr>
        <w:ind w:left="720"/>
        <w:rPr>
          <w:b/>
        </w:rPr>
      </w:pPr>
    </w:p>
    <w:p w14:paraId="06D7254F" w14:textId="77777777" w:rsidR="001957B8" w:rsidRDefault="001957B8" w:rsidP="00B4672E">
      <w:pPr>
        <w:ind w:left="720"/>
        <w:rPr>
          <w:lang w:val="en-US"/>
        </w:rPr>
      </w:pPr>
      <w:r w:rsidRPr="0040769B">
        <w:rPr>
          <w:lang w:val="en-US"/>
        </w:rPr>
        <w:t>The assessment of performance and of professional development needs will inform the planning process for the following appraisal period.</w:t>
      </w:r>
    </w:p>
    <w:p w14:paraId="06BF0C30" w14:textId="77777777" w:rsidR="00B0178D" w:rsidRDefault="00B0178D" w:rsidP="00B0178D">
      <w:pPr>
        <w:rPr>
          <w:lang w:val="en-US"/>
        </w:rPr>
      </w:pPr>
    </w:p>
    <w:p w14:paraId="6A4341A9" w14:textId="77777777" w:rsidR="00B25ED3" w:rsidRDefault="00B25ED3" w:rsidP="00B0178D">
      <w:pPr>
        <w:rPr>
          <w:rFonts w:ascii="Arial Unicode MS" w:eastAsia="Arial Unicode MS" w:hAnsi="Arial Unicode MS" w:cs="Arial Unicode MS"/>
          <w:b/>
          <w:color w:val="006666"/>
          <w:sz w:val="32"/>
          <w:szCs w:val="32"/>
          <w:lang w:eastAsia="en-GB"/>
        </w:rPr>
      </w:pPr>
    </w:p>
    <w:p w14:paraId="313AE163" w14:textId="77777777" w:rsidR="00B25ED3" w:rsidRDefault="00B25ED3" w:rsidP="00B0178D">
      <w:pPr>
        <w:rPr>
          <w:rFonts w:ascii="Arial Unicode MS" w:eastAsia="Arial Unicode MS" w:hAnsi="Arial Unicode MS" w:cs="Arial Unicode MS"/>
          <w:b/>
          <w:color w:val="006666"/>
          <w:sz w:val="32"/>
          <w:szCs w:val="32"/>
          <w:lang w:eastAsia="en-GB"/>
        </w:rPr>
      </w:pPr>
    </w:p>
    <w:p w14:paraId="3AE56982" w14:textId="77777777" w:rsidR="003C2A78" w:rsidRPr="00B0178D" w:rsidRDefault="00B0178D" w:rsidP="00B0178D">
      <w:pPr>
        <w:rPr>
          <w:rFonts w:ascii="Arial Unicode MS" w:eastAsia="Arial Unicode MS" w:hAnsi="Arial Unicode MS" w:cs="Arial Unicode MS"/>
          <w:color w:val="006666"/>
          <w:sz w:val="32"/>
          <w:szCs w:val="32"/>
          <w:lang w:eastAsia="en-GB"/>
        </w:rPr>
      </w:pPr>
      <w:r>
        <w:rPr>
          <w:rFonts w:ascii="Arial Unicode MS" w:eastAsia="Arial Unicode MS" w:hAnsi="Arial Unicode MS" w:cs="Arial Unicode MS"/>
          <w:b/>
          <w:color w:val="006666"/>
          <w:sz w:val="32"/>
          <w:szCs w:val="32"/>
          <w:lang w:eastAsia="en-GB"/>
        </w:rPr>
        <w:lastRenderedPageBreak/>
        <w:t>6.     G</w:t>
      </w:r>
      <w:r w:rsidR="003C2A78" w:rsidRPr="00B0178D">
        <w:rPr>
          <w:rFonts w:ascii="Arial Unicode MS" w:eastAsia="Arial Unicode MS" w:hAnsi="Arial Unicode MS" w:cs="Arial Unicode MS"/>
          <w:b/>
          <w:color w:val="006666"/>
          <w:sz w:val="32"/>
          <w:szCs w:val="32"/>
          <w:lang w:eastAsia="en-GB"/>
        </w:rPr>
        <w:t>eneral Principals Underlying This policy</w:t>
      </w:r>
      <w:r w:rsidR="003C2A78" w:rsidRPr="00B0178D">
        <w:rPr>
          <w:rFonts w:ascii="Arial Unicode MS" w:eastAsia="Arial Unicode MS" w:hAnsi="Arial Unicode MS" w:cs="Arial Unicode MS"/>
          <w:color w:val="006666"/>
          <w:sz w:val="32"/>
          <w:szCs w:val="32"/>
          <w:lang w:eastAsia="en-GB"/>
        </w:rPr>
        <w:t xml:space="preserve"> </w:t>
      </w:r>
    </w:p>
    <w:p w14:paraId="0E0D7234" w14:textId="77777777" w:rsidR="001957B8" w:rsidRDefault="001957B8" w:rsidP="001957B8"/>
    <w:p w14:paraId="34E2DD6E" w14:textId="77777777" w:rsidR="003C2A78" w:rsidRPr="00DD4FDE" w:rsidRDefault="003C2A78" w:rsidP="003C2A78">
      <w:pPr>
        <w:ind w:firstLine="720"/>
        <w:rPr>
          <w:rFonts w:cs="Times New Roman"/>
          <w:b/>
          <w:bCs/>
          <w:color w:val="104F75"/>
          <w:lang w:eastAsia="en-GB"/>
        </w:rPr>
      </w:pPr>
      <w:r w:rsidRPr="00DD4FDE">
        <w:rPr>
          <w:b/>
          <w:color w:val="006666"/>
        </w:rPr>
        <w:t>C</w:t>
      </w:r>
      <w:bookmarkStart w:id="14" w:name="_Toc380481046"/>
      <w:bookmarkStart w:id="15" w:name="_Toc2085626"/>
      <w:r w:rsidRPr="003C2A78">
        <w:rPr>
          <w:rFonts w:cs="Times New Roman"/>
          <w:b/>
          <w:bCs/>
          <w:color w:val="006666"/>
          <w:lang w:eastAsia="en-GB"/>
        </w:rPr>
        <w:t>onfidentiality</w:t>
      </w:r>
      <w:bookmarkEnd w:id="14"/>
      <w:bookmarkEnd w:id="15"/>
      <w:r w:rsidRPr="003C2A78">
        <w:rPr>
          <w:rFonts w:cs="Times New Roman"/>
          <w:b/>
          <w:bCs/>
          <w:color w:val="104F75"/>
          <w:lang w:eastAsia="en-GB"/>
        </w:rPr>
        <w:t xml:space="preserve"> </w:t>
      </w:r>
    </w:p>
    <w:p w14:paraId="7E5582B3" w14:textId="77777777" w:rsidR="003C2A78" w:rsidRDefault="003C2A78" w:rsidP="003C2A78">
      <w:pPr>
        <w:ind w:firstLine="720"/>
        <w:rPr>
          <w:rFonts w:cs="Times New Roman"/>
          <w:lang w:eastAsia="en-GB"/>
        </w:rPr>
      </w:pPr>
    </w:p>
    <w:p w14:paraId="318400A5" w14:textId="77777777" w:rsidR="003C2A78" w:rsidRPr="003C2A78" w:rsidRDefault="003C2A78" w:rsidP="003C2A78">
      <w:pPr>
        <w:spacing w:after="240" w:line="288" w:lineRule="auto"/>
        <w:ind w:left="720"/>
        <w:rPr>
          <w:rFonts w:cs="Times New Roman"/>
          <w:i/>
          <w:lang w:eastAsia="en-GB"/>
        </w:rPr>
      </w:pPr>
      <w:r w:rsidRPr="003C2A78">
        <w:rPr>
          <w:rFonts w:cs="Times New Roman"/>
          <w:lang w:eastAsia="en-GB"/>
        </w:rPr>
        <w:t xml:space="preserve">The appraisal process will be treated with confidentiality. However, the desire for confidentiality does not override the need for the headteacher and governance board to quality-assure the operation and effectiveness of the appraisal system. </w:t>
      </w:r>
      <w:r w:rsidRPr="00B97675">
        <w:rPr>
          <w:rFonts w:cs="Times New Roman"/>
          <w:i/>
          <w:highlight w:val="yellow"/>
          <w:lang w:eastAsia="en-GB"/>
        </w:rPr>
        <w:t>Schools to say here how they might achieve this, for example, the headteacher or appropriate colleague might review all teachers’ objectives and written appraisal records personally, in order to check consistency of approach and expectation between different appraisers. The headteacher might also wish to be aware of any pay recommendations that have been made.</w:t>
      </w:r>
    </w:p>
    <w:p w14:paraId="301977E9" w14:textId="77777777" w:rsidR="003C2A78" w:rsidRPr="003C2A78" w:rsidRDefault="003C2A78" w:rsidP="003C2A78">
      <w:pPr>
        <w:keepNext/>
        <w:spacing w:before="360" w:after="240"/>
        <w:ind w:firstLine="720"/>
        <w:outlineLvl w:val="2"/>
        <w:rPr>
          <w:rFonts w:cs="Times New Roman"/>
          <w:b/>
          <w:bCs/>
          <w:color w:val="006666"/>
          <w:lang w:eastAsia="en-GB"/>
        </w:rPr>
      </w:pPr>
      <w:bookmarkStart w:id="16" w:name="_Toc380481047"/>
      <w:bookmarkStart w:id="17" w:name="_Toc2085627"/>
      <w:r w:rsidRPr="003C2A78">
        <w:rPr>
          <w:rFonts w:cs="Times New Roman"/>
          <w:b/>
          <w:bCs/>
          <w:color w:val="006666"/>
          <w:lang w:eastAsia="en-GB"/>
        </w:rPr>
        <w:t>Consistency of Treatment and Fairness</w:t>
      </w:r>
      <w:bookmarkEnd w:id="16"/>
      <w:bookmarkEnd w:id="17"/>
      <w:r w:rsidRPr="003C2A78">
        <w:rPr>
          <w:rFonts w:cs="Times New Roman"/>
          <w:b/>
          <w:bCs/>
          <w:color w:val="006666"/>
          <w:lang w:eastAsia="en-GB"/>
        </w:rPr>
        <w:t xml:space="preserve"> </w:t>
      </w:r>
    </w:p>
    <w:p w14:paraId="5C19E170" w14:textId="77777777" w:rsidR="003C2A78" w:rsidRPr="003C2A78" w:rsidRDefault="003C2A78" w:rsidP="003C2A78">
      <w:pPr>
        <w:spacing w:after="240" w:line="288" w:lineRule="auto"/>
        <w:ind w:left="720"/>
        <w:rPr>
          <w:rFonts w:cs="Times New Roman"/>
          <w:lang w:eastAsia="en-GB"/>
        </w:rPr>
      </w:pPr>
      <w:r w:rsidRPr="003C2A78">
        <w:rPr>
          <w:rFonts w:cs="Times New Roman"/>
          <w:lang w:val="en-US" w:eastAsia="en-GB"/>
        </w:rPr>
        <w:t xml:space="preserve">The governance board is committed to ensuring consistency of treatment and fairness. </w:t>
      </w:r>
      <w:r w:rsidRPr="003C2A78">
        <w:rPr>
          <w:rFonts w:cs="Times New Roman"/>
          <w:iCs/>
          <w:lang w:val="en-US" w:eastAsia="en-GB"/>
        </w:rPr>
        <w:t>It will abide by all relevant equality legislation, including the duty to make reasonable adjustments for disabled teachers</w:t>
      </w:r>
      <w:r w:rsidRPr="003C2A78">
        <w:rPr>
          <w:rFonts w:cs="Times New Roman"/>
          <w:bCs/>
          <w:iCs/>
          <w:lang w:val="en-US" w:eastAsia="en-GB"/>
        </w:rPr>
        <w:t>.</w:t>
      </w:r>
      <w:r w:rsidRPr="003C2A78">
        <w:rPr>
          <w:rFonts w:cs="Times New Roman"/>
          <w:iCs/>
          <w:lang w:val="en-US" w:eastAsia="en-GB"/>
        </w:rPr>
        <w:t xml:space="preserve"> The governance board is aware of the guidance on the Equality Act issued by the Department for Education. </w:t>
      </w:r>
    </w:p>
    <w:p w14:paraId="67EA5D94" w14:textId="77777777" w:rsidR="003C2A78" w:rsidRPr="003C2A78" w:rsidRDefault="003C2A78" w:rsidP="003C2A78">
      <w:pPr>
        <w:keepNext/>
        <w:spacing w:before="360" w:after="240"/>
        <w:ind w:firstLine="720"/>
        <w:outlineLvl w:val="2"/>
        <w:rPr>
          <w:rFonts w:cs="Times New Roman"/>
          <w:b/>
          <w:bCs/>
          <w:color w:val="104F75"/>
          <w:lang w:eastAsia="en-GB"/>
        </w:rPr>
      </w:pPr>
      <w:bookmarkStart w:id="18" w:name="_Toc380481048"/>
      <w:bookmarkStart w:id="19" w:name="_Toc2085628"/>
      <w:r w:rsidRPr="003C2A78">
        <w:rPr>
          <w:rFonts w:cs="Times New Roman"/>
          <w:b/>
          <w:bCs/>
          <w:color w:val="006666"/>
          <w:lang w:eastAsia="en-GB"/>
        </w:rPr>
        <w:t>Definitions</w:t>
      </w:r>
      <w:bookmarkEnd w:id="18"/>
      <w:bookmarkEnd w:id="19"/>
      <w:r w:rsidRPr="003C2A78">
        <w:rPr>
          <w:rFonts w:cs="Times New Roman"/>
          <w:b/>
          <w:bCs/>
          <w:color w:val="104F75"/>
          <w:lang w:eastAsia="en-GB"/>
        </w:rPr>
        <w:t xml:space="preserve"> </w:t>
      </w:r>
    </w:p>
    <w:p w14:paraId="2514D314" w14:textId="77777777" w:rsidR="003C2A78" w:rsidRPr="003C2A78" w:rsidRDefault="003C2A78" w:rsidP="003C2A78">
      <w:pPr>
        <w:spacing w:after="240" w:line="288" w:lineRule="auto"/>
        <w:ind w:firstLine="720"/>
        <w:rPr>
          <w:rFonts w:cs="Times New Roman"/>
          <w:lang w:eastAsia="en-GB"/>
        </w:rPr>
      </w:pPr>
      <w:r w:rsidRPr="003C2A78">
        <w:rPr>
          <w:rFonts w:cs="Times New Roman"/>
          <w:lang w:eastAsia="en-GB"/>
        </w:rPr>
        <w:t>Unless indicated otherwise, all references to “teacher” include the headteacher.</w:t>
      </w:r>
    </w:p>
    <w:p w14:paraId="2AF277B7" w14:textId="77777777" w:rsidR="003C2A78" w:rsidRPr="003C2A78" w:rsidRDefault="003C2A78" w:rsidP="003C2A78">
      <w:pPr>
        <w:keepNext/>
        <w:spacing w:before="360" w:after="240"/>
        <w:ind w:firstLine="720"/>
        <w:outlineLvl w:val="2"/>
        <w:rPr>
          <w:rFonts w:cs="Times New Roman"/>
          <w:b/>
          <w:bCs/>
          <w:color w:val="104F75"/>
          <w:lang w:eastAsia="en-GB"/>
        </w:rPr>
      </w:pPr>
      <w:bookmarkStart w:id="20" w:name="_Toc380481049"/>
      <w:bookmarkStart w:id="21" w:name="_Toc2085629"/>
      <w:r w:rsidRPr="003C2A78">
        <w:rPr>
          <w:rFonts w:cs="Times New Roman"/>
          <w:b/>
          <w:bCs/>
          <w:color w:val="006666"/>
          <w:lang w:eastAsia="en-GB"/>
        </w:rPr>
        <w:t>Delegation</w:t>
      </w:r>
      <w:bookmarkEnd w:id="20"/>
      <w:bookmarkEnd w:id="21"/>
      <w:r w:rsidRPr="003C2A78">
        <w:rPr>
          <w:rFonts w:cs="Times New Roman"/>
          <w:b/>
          <w:bCs/>
          <w:color w:val="104F75"/>
          <w:lang w:eastAsia="en-GB"/>
        </w:rPr>
        <w:t xml:space="preserve"> </w:t>
      </w:r>
    </w:p>
    <w:p w14:paraId="32E76BF7" w14:textId="77777777" w:rsidR="003C2A78" w:rsidRPr="003C2A78" w:rsidRDefault="003C2A78" w:rsidP="003C2A78">
      <w:pPr>
        <w:spacing w:after="240" w:line="288" w:lineRule="auto"/>
        <w:ind w:left="720"/>
        <w:rPr>
          <w:rFonts w:cs="Times New Roman"/>
          <w:lang w:eastAsia="en-GB"/>
        </w:rPr>
      </w:pPr>
      <w:r w:rsidRPr="003C2A78">
        <w:rPr>
          <w:rFonts w:cs="Times New Roman"/>
          <w:lang w:eastAsia="en-GB"/>
        </w:rPr>
        <w:t xml:space="preserve">Normal rules apply in respect of the delegation of functions by governance boards, headteachers and local authorities. </w:t>
      </w:r>
    </w:p>
    <w:p w14:paraId="7325BD51" w14:textId="77777777" w:rsidR="003C2A78" w:rsidRPr="003C2A78" w:rsidRDefault="003C2A78" w:rsidP="003C2A78">
      <w:pPr>
        <w:keepNext/>
        <w:spacing w:before="360" w:after="240"/>
        <w:ind w:firstLine="720"/>
        <w:outlineLvl w:val="2"/>
        <w:rPr>
          <w:rFonts w:cs="Times New Roman"/>
          <w:b/>
          <w:bCs/>
          <w:color w:val="104F75"/>
          <w:lang w:val="en-US" w:eastAsia="en-GB"/>
        </w:rPr>
      </w:pPr>
      <w:bookmarkStart w:id="22" w:name="_Toc380481051"/>
      <w:bookmarkStart w:id="23" w:name="_Toc2085631"/>
      <w:r w:rsidRPr="003C2A78">
        <w:rPr>
          <w:rFonts w:cs="Times New Roman"/>
          <w:b/>
          <w:bCs/>
          <w:color w:val="006666"/>
          <w:lang w:eastAsia="en-GB"/>
        </w:rPr>
        <w:t>Sickness</w:t>
      </w:r>
      <w:bookmarkEnd w:id="22"/>
      <w:bookmarkEnd w:id="23"/>
      <w:r w:rsidRPr="003C2A78">
        <w:rPr>
          <w:rFonts w:cs="Times New Roman"/>
          <w:b/>
          <w:bCs/>
          <w:color w:val="104F75"/>
          <w:lang w:eastAsia="en-GB"/>
        </w:rPr>
        <w:t xml:space="preserve"> </w:t>
      </w:r>
    </w:p>
    <w:p w14:paraId="09DCBD6C" w14:textId="77777777" w:rsidR="003C2A78" w:rsidRPr="003C2A78" w:rsidRDefault="003C2A78" w:rsidP="003C2A78">
      <w:pPr>
        <w:spacing w:after="240" w:line="288" w:lineRule="auto"/>
        <w:ind w:left="720"/>
        <w:rPr>
          <w:rFonts w:cs="Times New Roman"/>
          <w:lang w:eastAsia="en-GB"/>
        </w:rPr>
      </w:pPr>
      <w:r w:rsidRPr="003C2A78">
        <w:rPr>
          <w:rFonts w:cs="Times New Roman"/>
          <w:lang w:eastAsia="en-GB"/>
        </w:rPr>
        <w:t xml:space="preserve">If long term sickness absence appears to have been triggered by the commencement of monitoring performance at any stage of the procedure or a formal capability procedure, the case will be dealt with in accordance with the school’s absence policy and will be </w:t>
      </w:r>
      <w:r w:rsidRPr="00B97675">
        <w:rPr>
          <w:rFonts w:cs="Times New Roman"/>
          <w:i/>
          <w:highlight w:val="yellow"/>
          <w:lang w:eastAsia="en-GB"/>
        </w:rPr>
        <w:t>(e.g. referred immediately to the occupational health service to assess the member of staff’s health and fitness for continued employment and the appropriateness or otherwise of continuing with monitoring or formal procedures).</w:t>
      </w:r>
      <w:r w:rsidRPr="003C2A78">
        <w:rPr>
          <w:rFonts w:cs="Times New Roman"/>
          <w:lang w:eastAsia="en-GB"/>
        </w:rPr>
        <w:t xml:space="preserve"> In some cases, it may be appropriate for monitoring and/or formal procedures to continue during a period of sickness absence.</w:t>
      </w:r>
    </w:p>
    <w:p w14:paraId="745B8869" w14:textId="77777777" w:rsidR="003C2A78" w:rsidRPr="003C2A78" w:rsidRDefault="003C2A78" w:rsidP="003C2A78">
      <w:pPr>
        <w:keepNext/>
        <w:spacing w:before="360" w:after="240"/>
        <w:ind w:firstLine="720"/>
        <w:outlineLvl w:val="2"/>
        <w:rPr>
          <w:rFonts w:cs="Times New Roman"/>
          <w:b/>
          <w:bCs/>
          <w:color w:val="104F75"/>
          <w:lang w:val="en-US" w:eastAsia="en-GB"/>
        </w:rPr>
      </w:pPr>
      <w:bookmarkStart w:id="24" w:name="_Toc380481052"/>
      <w:bookmarkStart w:id="25" w:name="_Toc2085632"/>
      <w:r w:rsidRPr="003C2A78">
        <w:rPr>
          <w:rFonts w:cs="Times New Roman"/>
          <w:b/>
          <w:bCs/>
          <w:color w:val="006666"/>
          <w:lang w:eastAsia="en-GB"/>
        </w:rPr>
        <w:t>Monitoring and Evaluation</w:t>
      </w:r>
      <w:bookmarkEnd w:id="24"/>
      <w:bookmarkEnd w:id="25"/>
      <w:r w:rsidRPr="003C2A78">
        <w:rPr>
          <w:rFonts w:cs="Times New Roman"/>
          <w:b/>
          <w:bCs/>
          <w:color w:val="104F75"/>
          <w:lang w:eastAsia="en-GB"/>
        </w:rPr>
        <w:t xml:space="preserve"> </w:t>
      </w:r>
    </w:p>
    <w:p w14:paraId="768D1C7A" w14:textId="77777777" w:rsidR="003C2A78" w:rsidRPr="003C2A78" w:rsidRDefault="003C2A78" w:rsidP="003C2A78">
      <w:pPr>
        <w:spacing w:after="240" w:line="288" w:lineRule="auto"/>
        <w:ind w:left="720"/>
        <w:rPr>
          <w:rFonts w:cs="Times New Roman"/>
          <w:lang w:val="en-US" w:eastAsia="en-GB"/>
        </w:rPr>
      </w:pPr>
      <w:r w:rsidRPr="003C2A78">
        <w:rPr>
          <w:rFonts w:cs="Times New Roman"/>
          <w:lang w:val="en-US" w:eastAsia="en-GB"/>
        </w:rPr>
        <w:t>The governance board and headteacher will monitor the operation and effectiveness of the school’s appraisal arrangements. This will include ensuring that the arrangements</w:t>
      </w:r>
      <w:r w:rsidRPr="003C2A78">
        <w:rPr>
          <w:rFonts w:cs="Times New Roman"/>
          <w:lang w:eastAsia="en-GB"/>
        </w:rPr>
        <w:t xml:space="preserve"> minimise</w:t>
      </w:r>
      <w:r w:rsidRPr="003C2A78">
        <w:rPr>
          <w:rFonts w:cs="Times New Roman"/>
          <w:lang w:val="en-US" w:eastAsia="en-GB"/>
        </w:rPr>
        <w:t xml:space="preserve"> the impact on workload for all parties involved. </w:t>
      </w:r>
    </w:p>
    <w:p w14:paraId="1E8A69BC" w14:textId="77777777" w:rsidR="003C2A78" w:rsidRPr="003C2A78" w:rsidRDefault="003C2A78" w:rsidP="003C2A78">
      <w:pPr>
        <w:keepNext/>
        <w:spacing w:before="360" w:after="240"/>
        <w:ind w:firstLine="720"/>
        <w:outlineLvl w:val="2"/>
        <w:rPr>
          <w:rFonts w:cs="Times New Roman"/>
          <w:b/>
          <w:bCs/>
          <w:color w:val="104F75"/>
          <w:lang w:val="en-US" w:eastAsia="en-GB"/>
        </w:rPr>
      </w:pPr>
      <w:bookmarkStart w:id="26" w:name="_Toc380481053"/>
      <w:bookmarkStart w:id="27" w:name="_Toc2085633"/>
      <w:r w:rsidRPr="003C2A78">
        <w:rPr>
          <w:rFonts w:cs="Times New Roman"/>
          <w:b/>
          <w:bCs/>
          <w:color w:val="006666"/>
          <w:lang w:eastAsia="en-GB"/>
        </w:rPr>
        <w:lastRenderedPageBreak/>
        <w:t>Retention</w:t>
      </w:r>
      <w:bookmarkEnd w:id="26"/>
      <w:bookmarkEnd w:id="27"/>
      <w:r w:rsidRPr="003C2A78">
        <w:rPr>
          <w:rFonts w:cs="Times New Roman"/>
          <w:b/>
          <w:bCs/>
          <w:color w:val="104F75"/>
          <w:lang w:eastAsia="en-GB"/>
        </w:rPr>
        <w:t xml:space="preserve"> </w:t>
      </w:r>
    </w:p>
    <w:p w14:paraId="3F071D0D" w14:textId="77777777" w:rsidR="003C2A78" w:rsidRPr="003C2A78" w:rsidRDefault="003C2A78" w:rsidP="003C2A78">
      <w:pPr>
        <w:spacing w:after="240" w:line="288" w:lineRule="auto"/>
        <w:ind w:left="720"/>
        <w:rPr>
          <w:rFonts w:cs="Times New Roman"/>
          <w:lang w:val="en-US" w:eastAsia="en-GB"/>
        </w:rPr>
      </w:pPr>
      <w:r w:rsidRPr="003C2A78">
        <w:rPr>
          <w:rFonts w:cs="Times New Roman"/>
          <w:lang w:val="en-US" w:eastAsia="en-GB"/>
        </w:rPr>
        <w:t>The governance board and headteacher will ensure that all written appraisal records are retained and stored in a secure place in line with their Retention and Disposal Policy</w:t>
      </w:r>
    </w:p>
    <w:p w14:paraId="0EF247B4" w14:textId="77777777" w:rsidR="0022681D" w:rsidRPr="003C2A78" w:rsidRDefault="0022681D" w:rsidP="0022681D">
      <w:pPr>
        <w:keepNext/>
        <w:spacing w:before="360" w:after="240"/>
        <w:ind w:firstLine="720"/>
        <w:outlineLvl w:val="2"/>
        <w:rPr>
          <w:rFonts w:cs="Times New Roman"/>
          <w:b/>
          <w:bCs/>
          <w:color w:val="104F75"/>
          <w:lang w:val="en-US" w:eastAsia="en-GB"/>
        </w:rPr>
      </w:pPr>
      <w:r>
        <w:rPr>
          <w:rFonts w:cs="Times New Roman"/>
          <w:b/>
          <w:bCs/>
          <w:color w:val="006666"/>
          <w:lang w:eastAsia="en-GB"/>
        </w:rPr>
        <w:t>Links with pay</w:t>
      </w:r>
      <w:r w:rsidRPr="003C2A78">
        <w:rPr>
          <w:rFonts w:cs="Times New Roman"/>
          <w:b/>
          <w:bCs/>
          <w:color w:val="104F75"/>
          <w:lang w:eastAsia="en-GB"/>
        </w:rPr>
        <w:t xml:space="preserve"> </w:t>
      </w:r>
    </w:p>
    <w:p w14:paraId="7FB57EE8" w14:textId="687EB726" w:rsidR="000457B7" w:rsidRDefault="0022681D" w:rsidP="0022681D">
      <w:pPr>
        <w:spacing w:after="240" w:line="288" w:lineRule="auto"/>
        <w:ind w:left="720"/>
        <w:rPr>
          <w:i/>
          <w:color w:val="FF0000"/>
          <w:lang w:val="en-US" w:eastAsia="en-GB"/>
        </w:rPr>
      </w:pPr>
      <w:r w:rsidRPr="003C2A78">
        <w:rPr>
          <w:rFonts w:cs="Times New Roman"/>
          <w:lang w:val="en-US" w:eastAsia="en-GB"/>
        </w:rPr>
        <w:t>Th</w:t>
      </w:r>
      <w:r>
        <w:rPr>
          <w:rFonts w:cs="Times New Roman"/>
          <w:lang w:val="en-US" w:eastAsia="en-GB"/>
        </w:rPr>
        <w:t>is policy should be read in con</w:t>
      </w:r>
      <w:r w:rsidR="00B97675">
        <w:rPr>
          <w:rFonts w:cs="Times New Roman"/>
          <w:lang w:val="en-US" w:eastAsia="en-GB"/>
        </w:rPr>
        <w:t>j</w:t>
      </w:r>
      <w:r>
        <w:rPr>
          <w:rFonts w:cs="Times New Roman"/>
          <w:lang w:val="en-US" w:eastAsia="en-GB"/>
        </w:rPr>
        <w:t>u</w:t>
      </w:r>
      <w:r w:rsidR="00B97675">
        <w:rPr>
          <w:rFonts w:cs="Times New Roman"/>
          <w:lang w:val="en-US" w:eastAsia="en-GB"/>
        </w:rPr>
        <w:t>n</w:t>
      </w:r>
      <w:r>
        <w:rPr>
          <w:rFonts w:cs="Times New Roman"/>
          <w:lang w:val="en-US" w:eastAsia="en-GB"/>
        </w:rPr>
        <w:t>ction with the school’s pay policy which provides details of the arrangements relating to teachers’ pay in accordance with the School Teachers Pay and Conditions Document. Where teacher</w:t>
      </w:r>
      <w:r w:rsidR="00B97675">
        <w:rPr>
          <w:rFonts w:cs="Times New Roman"/>
          <w:lang w:val="en-US" w:eastAsia="en-GB"/>
        </w:rPr>
        <w:t>s</w:t>
      </w:r>
      <w:bookmarkStart w:id="28" w:name="_GoBack"/>
      <w:bookmarkEnd w:id="28"/>
      <w:r>
        <w:rPr>
          <w:rFonts w:cs="Times New Roman"/>
          <w:lang w:val="en-US" w:eastAsia="en-GB"/>
        </w:rPr>
        <w:t xml:space="preserve"> are eligible for pay progression the appraisal assessment, throughout the cycle, will be the basis upon the recommendation made by the appraiser.</w:t>
      </w:r>
    </w:p>
    <w:p w14:paraId="70D28529" w14:textId="77777777" w:rsidR="002844A5" w:rsidRDefault="002844A5" w:rsidP="00477926">
      <w:pPr>
        <w:spacing w:after="240" w:line="288" w:lineRule="auto"/>
        <w:ind w:left="720"/>
        <w:rPr>
          <w:rFonts w:cs="Times New Roman"/>
          <w:strike/>
          <w:lang w:eastAsia="en-GB"/>
        </w:rPr>
      </w:pPr>
    </w:p>
    <w:p w14:paraId="574B71E6" w14:textId="77777777" w:rsidR="002844A5" w:rsidRDefault="002844A5" w:rsidP="00477926">
      <w:pPr>
        <w:spacing w:after="240" w:line="288" w:lineRule="auto"/>
        <w:ind w:left="720"/>
        <w:rPr>
          <w:rFonts w:cs="Times New Roman"/>
          <w:strike/>
          <w:lang w:eastAsia="en-GB"/>
        </w:rPr>
      </w:pPr>
    </w:p>
    <w:p w14:paraId="045D7613" w14:textId="77777777" w:rsidR="00961DF7" w:rsidRDefault="000C09D4" w:rsidP="00477926">
      <w:pPr>
        <w:spacing w:after="240" w:line="288" w:lineRule="auto"/>
        <w:ind w:left="720"/>
        <w:rPr>
          <w:rFonts w:cs="Times New Roman"/>
          <w:lang w:eastAsia="en-GB"/>
        </w:rPr>
      </w:pPr>
      <w:r>
        <w:rPr>
          <w:rFonts w:cs="Times New Roman"/>
          <w:lang w:eastAsia="en-GB"/>
        </w:rPr>
        <w:tab/>
      </w:r>
      <w:r>
        <w:rPr>
          <w:rFonts w:cs="Times New Roman"/>
          <w:lang w:eastAsia="en-GB"/>
        </w:rPr>
        <w:tab/>
      </w:r>
      <w:r>
        <w:rPr>
          <w:rFonts w:cs="Times New Roman"/>
          <w:lang w:eastAsia="en-GB"/>
        </w:rPr>
        <w:tab/>
      </w:r>
      <w:r>
        <w:rPr>
          <w:rFonts w:cs="Times New Roman"/>
          <w:lang w:eastAsia="en-GB"/>
        </w:rPr>
        <w:tab/>
      </w:r>
      <w:r w:rsidR="002844A5">
        <w:rPr>
          <w:rFonts w:cs="Times New Roman"/>
          <w:lang w:eastAsia="en-GB"/>
        </w:rPr>
        <w:tab/>
      </w:r>
    </w:p>
    <w:p w14:paraId="10877180" w14:textId="77777777" w:rsidR="002844A5" w:rsidRPr="002844A5" w:rsidRDefault="00961DF7" w:rsidP="00477926">
      <w:pPr>
        <w:spacing w:after="240" w:line="288" w:lineRule="auto"/>
        <w:ind w:left="720"/>
        <w:rPr>
          <w:rFonts w:cs="Times New Roman"/>
          <w:lang w:eastAsia="en-GB"/>
        </w:rPr>
      </w:pPr>
      <w:r>
        <w:rPr>
          <w:rFonts w:cs="Times New Roman"/>
          <w:lang w:eastAsia="en-GB"/>
        </w:rPr>
        <w:tab/>
      </w:r>
      <w:r>
        <w:rPr>
          <w:rFonts w:cs="Times New Roman"/>
          <w:lang w:eastAsia="en-GB"/>
        </w:rPr>
        <w:tab/>
      </w:r>
      <w:r w:rsidR="002844A5">
        <w:rPr>
          <w:rFonts w:cs="Times New Roman"/>
          <w:lang w:eastAsia="en-GB"/>
        </w:rPr>
        <w:tab/>
      </w:r>
      <w:r w:rsidR="002844A5">
        <w:rPr>
          <w:rFonts w:cs="Times New Roman"/>
          <w:lang w:eastAsia="en-GB"/>
        </w:rPr>
        <w:tab/>
      </w:r>
      <w:r w:rsidR="002844A5">
        <w:rPr>
          <w:rFonts w:cs="Times New Roman"/>
          <w:lang w:eastAsia="en-GB"/>
        </w:rPr>
        <w:tab/>
      </w:r>
      <w:r w:rsidR="002844A5">
        <w:rPr>
          <w:rFonts w:cs="Times New Roman"/>
          <w:lang w:eastAsia="en-GB"/>
        </w:rPr>
        <w:tab/>
      </w:r>
      <w:r w:rsidR="002844A5">
        <w:rPr>
          <w:rFonts w:cs="Times New Roman"/>
          <w:lang w:eastAsia="en-GB"/>
        </w:rPr>
        <w:tab/>
      </w:r>
      <w:bookmarkEnd w:id="4"/>
      <w:r w:rsidR="002844A5">
        <w:rPr>
          <w:rFonts w:cs="Times New Roman"/>
          <w:lang w:eastAsia="en-GB"/>
        </w:rPr>
        <w:t xml:space="preserve"> </w:t>
      </w:r>
    </w:p>
    <w:p w14:paraId="3719F0A0" w14:textId="77777777" w:rsidR="002844A5" w:rsidRDefault="002844A5" w:rsidP="00477926">
      <w:pPr>
        <w:spacing w:after="240" w:line="288" w:lineRule="auto"/>
        <w:ind w:left="720"/>
        <w:rPr>
          <w:rFonts w:cs="Times New Roman"/>
          <w:strike/>
          <w:lang w:eastAsia="en-GB"/>
        </w:rPr>
      </w:pPr>
    </w:p>
    <w:p w14:paraId="7930FBA5" w14:textId="77777777" w:rsidR="002844A5" w:rsidRDefault="002844A5" w:rsidP="00477926">
      <w:pPr>
        <w:spacing w:after="240" w:line="288" w:lineRule="auto"/>
        <w:ind w:left="720"/>
        <w:rPr>
          <w:rFonts w:cs="Times New Roman"/>
          <w:strike/>
          <w:lang w:eastAsia="en-GB"/>
        </w:rPr>
      </w:pPr>
    </w:p>
    <w:p w14:paraId="6732DAC1" w14:textId="77777777" w:rsidR="002844A5" w:rsidRPr="002B0F88" w:rsidRDefault="002844A5" w:rsidP="00477926">
      <w:pPr>
        <w:spacing w:after="240" w:line="288" w:lineRule="auto"/>
        <w:ind w:left="720"/>
        <w:rPr>
          <w:rFonts w:cs="Times New Roman"/>
          <w:strike/>
          <w:lang w:eastAsia="en-GB"/>
        </w:rPr>
      </w:pPr>
    </w:p>
    <w:p w14:paraId="24FF1B05" w14:textId="77777777" w:rsidR="000457B7" w:rsidRPr="000457B7" w:rsidRDefault="000457B7" w:rsidP="000457B7"/>
    <w:sectPr w:rsidR="000457B7" w:rsidRPr="000457B7" w:rsidSect="00231EB4">
      <w:headerReference w:type="even" r:id="rId19"/>
      <w:headerReference w:type="default" r:id="rId20"/>
      <w:footerReference w:type="default" r:id="rId21"/>
      <w:headerReference w:type="first" r:id="rId22"/>
      <w:pgSz w:w="11906" w:h="16838"/>
      <w:pgMar w:top="720" w:right="720" w:bottom="720" w:left="72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F5152" w14:textId="77777777" w:rsidR="00736336" w:rsidRDefault="00736336" w:rsidP="00E375F5">
      <w:r>
        <w:separator/>
      </w:r>
    </w:p>
  </w:endnote>
  <w:endnote w:type="continuationSeparator" w:id="0">
    <w:p w14:paraId="134EFCAD" w14:textId="77777777" w:rsidR="00736336" w:rsidRDefault="00736336" w:rsidP="00E375F5">
      <w:r>
        <w:continuationSeparator/>
      </w:r>
    </w:p>
  </w:endnote>
  <w:endnote w:type="continuationNotice" w:id="1">
    <w:p w14:paraId="30FF9D2E" w14:textId="77777777" w:rsidR="00736336" w:rsidRDefault="00736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0AD9" w14:textId="77777777" w:rsidR="000D4D0F" w:rsidRDefault="000D4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CDD4" w14:textId="4B68C392" w:rsidR="00736336" w:rsidRDefault="000D4D0F" w:rsidP="00E72F0A">
    <w:pPr>
      <w:pStyle w:val="Footer"/>
      <w:jc w:val="center"/>
    </w:pPr>
    <w:r>
      <w:t>September 2020</w:t>
    </w:r>
  </w:p>
  <w:p w14:paraId="0378299E" w14:textId="77777777" w:rsidR="00736336" w:rsidRPr="00ED008A" w:rsidRDefault="00736336" w:rsidP="00ED008A">
    <w:pPr>
      <w:pStyle w:val="Footer"/>
      <w:jc w:val="right"/>
      <w:rPr>
        <w:b/>
        <w:color w:val="0099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3385" w14:textId="77777777" w:rsidR="000D4D0F" w:rsidRDefault="000D4D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216335"/>
      <w:docPartObj>
        <w:docPartGallery w:val="Page Numbers (Bottom of Page)"/>
        <w:docPartUnique/>
      </w:docPartObj>
    </w:sdtPr>
    <w:sdtEndPr>
      <w:rPr>
        <w:noProof/>
      </w:rPr>
    </w:sdtEndPr>
    <w:sdtContent>
      <w:p w14:paraId="2B34A47A" w14:textId="77777777" w:rsidR="00231EB4" w:rsidRDefault="00231EB4">
        <w:pPr>
          <w:pStyle w:val="Footer"/>
          <w:jc w:val="center"/>
        </w:pPr>
        <w:r>
          <w:fldChar w:fldCharType="begin"/>
        </w:r>
        <w:r>
          <w:instrText xml:space="preserve"> PAGE   \* MERGEFORMAT </w:instrText>
        </w:r>
        <w:r>
          <w:fldChar w:fldCharType="separate"/>
        </w:r>
        <w:r w:rsidR="00B25ED3">
          <w:rPr>
            <w:noProof/>
          </w:rPr>
          <w:t>10</w:t>
        </w:r>
        <w:r>
          <w:rPr>
            <w:noProof/>
          </w:rPr>
          <w:fldChar w:fldCharType="end"/>
        </w:r>
      </w:p>
    </w:sdtContent>
  </w:sdt>
  <w:p w14:paraId="1D96A65A" w14:textId="77777777" w:rsidR="00736336" w:rsidRDefault="0073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C75C" w14:textId="77777777" w:rsidR="00736336" w:rsidRDefault="00736336" w:rsidP="00E375F5">
      <w:r>
        <w:separator/>
      </w:r>
    </w:p>
  </w:footnote>
  <w:footnote w:type="continuationSeparator" w:id="0">
    <w:p w14:paraId="1D42AE44" w14:textId="77777777" w:rsidR="00736336" w:rsidRDefault="00736336" w:rsidP="00E375F5">
      <w:r>
        <w:continuationSeparator/>
      </w:r>
    </w:p>
  </w:footnote>
  <w:footnote w:type="continuationNotice" w:id="1">
    <w:p w14:paraId="5D5250CA" w14:textId="77777777" w:rsidR="00736336" w:rsidRDefault="00736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823D" w14:textId="5BF557FC" w:rsidR="00736336" w:rsidRDefault="0073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B4060" w14:textId="6E3D3DB4" w:rsidR="00736336" w:rsidRDefault="00736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CB1F" w14:textId="6A691271" w:rsidR="00736336" w:rsidRDefault="007363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36F7" w14:textId="2CEB47EB" w:rsidR="00736336" w:rsidRDefault="007363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2DED" w14:textId="5932CBCD" w:rsidR="00736336" w:rsidRDefault="007363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9123" w14:textId="3E751674" w:rsidR="00736336" w:rsidRDefault="00736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40066"/>
    <w:multiLevelType w:val="hybridMultilevel"/>
    <w:tmpl w:val="7B169E94"/>
    <w:lvl w:ilvl="0" w:tplc="E1A4D976">
      <w:start w:val="1"/>
      <w:numFmt w:val="bullet"/>
      <w:lvlRestart w:val="0"/>
      <w:lvlText w:val=""/>
      <w:lvlJc w:val="left"/>
      <w:pPr>
        <w:tabs>
          <w:tab w:val="num" w:pos="6480"/>
        </w:tabs>
        <w:ind w:left="6480" w:hanging="360"/>
      </w:pPr>
      <w:rPr>
        <w:rFonts w:ascii="Symbol" w:hAnsi="Symbol" w:hint="default"/>
      </w:rPr>
    </w:lvl>
    <w:lvl w:ilvl="1" w:tplc="08090003">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1" w15:restartNumberingAfterBreak="0">
    <w:nsid w:val="15F32E3F"/>
    <w:multiLevelType w:val="hybridMultilevel"/>
    <w:tmpl w:val="C86C61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5671522"/>
    <w:multiLevelType w:val="hybridMultilevel"/>
    <w:tmpl w:val="081695AE"/>
    <w:lvl w:ilvl="0" w:tplc="E00A5CD0">
      <w:start w:val="6"/>
      <w:numFmt w:val="decimal"/>
      <w:lvlText w:val="%1."/>
      <w:lvlJc w:val="left"/>
      <w:pPr>
        <w:ind w:left="720" w:hanging="360"/>
      </w:pPr>
      <w:rPr>
        <w:rFonts w:ascii="Arial" w:eastAsia="Times New Roman"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A1E21"/>
    <w:multiLevelType w:val="hybridMultilevel"/>
    <w:tmpl w:val="A5702ECA"/>
    <w:lvl w:ilvl="0" w:tplc="EF32FC54">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E3B4B2F"/>
    <w:multiLevelType w:val="hybridMultilevel"/>
    <w:tmpl w:val="42E22654"/>
    <w:lvl w:ilvl="0" w:tplc="E1A4D976">
      <w:start w:val="1"/>
      <w:numFmt w:val="bullet"/>
      <w:lvlRestart w:val="0"/>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FE93DF6"/>
    <w:multiLevelType w:val="hybridMultilevel"/>
    <w:tmpl w:val="ABB6D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9AE0ED8"/>
    <w:multiLevelType w:val="hybridMultilevel"/>
    <w:tmpl w:val="B2D2DA02"/>
    <w:lvl w:ilvl="0" w:tplc="18D60F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E20962"/>
    <w:multiLevelType w:val="hybridMultilevel"/>
    <w:tmpl w:val="AF3AB04E"/>
    <w:lvl w:ilvl="0" w:tplc="FA36B0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7"/>
  </w:num>
  <w:num w:numId="5">
    <w:abstractNumId w:val="3"/>
  </w:num>
  <w:num w:numId="6">
    <w:abstractNumId w:val="2"/>
  </w:num>
  <w:num w:numId="7">
    <w:abstractNumId w:val="1"/>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F5"/>
    <w:rsid w:val="0001286B"/>
    <w:rsid w:val="00012A4F"/>
    <w:rsid w:val="00014343"/>
    <w:rsid w:val="00021745"/>
    <w:rsid w:val="00021BDE"/>
    <w:rsid w:val="00022CEB"/>
    <w:rsid w:val="00043890"/>
    <w:rsid w:val="000457B7"/>
    <w:rsid w:val="00050D6B"/>
    <w:rsid w:val="00085B52"/>
    <w:rsid w:val="0009222C"/>
    <w:rsid w:val="000943C7"/>
    <w:rsid w:val="000A2989"/>
    <w:rsid w:val="000A39EC"/>
    <w:rsid w:val="000B065F"/>
    <w:rsid w:val="000B3201"/>
    <w:rsid w:val="000C09D4"/>
    <w:rsid w:val="000C10A8"/>
    <w:rsid w:val="000C13A2"/>
    <w:rsid w:val="000D4D0F"/>
    <w:rsid w:val="000D5BC0"/>
    <w:rsid w:val="000E6AA7"/>
    <w:rsid w:val="000E783A"/>
    <w:rsid w:val="00111416"/>
    <w:rsid w:val="00133F03"/>
    <w:rsid w:val="00145199"/>
    <w:rsid w:val="00151C58"/>
    <w:rsid w:val="0016105B"/>
    <w:rsid w:val="00161A2F"/>
    <w:rsid w:val="00162BD6"/>
    <w:rsid w:val="00183CAB"/>
    <w:rsid w:val="001957B8"/>
    <w:rsid w:val="001A5C79"/>
    <w:rsid w:val="001B2F66"/>
    <w:rsid w:val="001B4A7A"/>
    <w:rsid w:val="00207B11"/>
    <w:rsid w:val="00210D30"/>
    <w:rsid w:val="0021471C"/>
    <w:rsid w:val="00223699"/>
    <w:rsid w:val="0022681D"/>
    <w:rsid w:val="0022781A"/>
    <w:rsid w:val="00231EB4"/>
    <w:rsid w:val="00232627"/>
    <w:rsid w:val="002557B1"/>
    <w:rsid w:val="00257C19"/>
    <w:rsid w:val="002708D8"/>
    <w:rsid w:val="002844A5"/>
    <w:rsid w:val="00285307"/>
    <w:rsid w:val="00285913"/>
    <w:rsid w:val="002909DC"/>
    <w:rsid w:val="00294F5B"/>
    <w:rsid w:val="00295BF2"/>
    <w:rsid w:val="002A49B1"/>
    <w:rsid w:val="002A7A38"/>
    <w:rsid w:val="002B0F88"/>
    <w:rsid w:val="002B2C06"/>
    <w:rsid w:val="002B6AEC"/>
    <w:rsid w:val="002E54AB"/>
    <w:rsid w:val="00305191"/>
    <w:rsid w:val="00306E24"/>
    <w:rsid w:val="00313F82"/>
    <w:rsid w:val="0031514D"/>
    <w:rsid w:val="003225BF"/>
    <w:rsid w:val="00322DA4"/>
    <w:rsid w:val="003256A3"/>
    <w:rsid w:val="00336C0D"/>
    <w:rsid w:val="003372A6"/>
    <w:rsid w:val="00345CB2"/>
    <w:rsid w:val="003705DC"/>
    <w:rsid w:val="00374F16"/>
    <w:rsid w:val="0037559A"/>
    <w:rsid w:val="00396058"/>
    <w:rsid w:val="003A6FF1"/>
    <w:rsid w:val="003C2A78"/>
    <w:rsid w:val="003C4702"/>
    <w:rsid w:val="003F11FD"/>
    <w:rsid w:val="003F4B5B"/>
    <w:rsid w:val="00401E5D"/>
    <w:rsid w:val="00423D6A"/>
    <w:rsid w:val="00437CDF"/>
    <w:rsid w:val="00446132"/>
    <w:rsid w:val="00450E5A"/>
    <w:rsid w:val="00453270"/>
    <w:rsid w:val="00453CD7"/>
    <w:rsid w:val="00456D63"/>
    <w:rsid w:val="00464ABA"/>
    <w:rsid w:val="00466B3D"/>
    <w:rsid w:val="00477926"/>
    <w:rsid w:val="00484B86"/>
    <w:rsid w:val="00486386"/>
    <w:rsid w:val="004879B3"/>
    <w:rsid w:val="004A45B9"/>
    <w:rsid w:val="004A57EF"/>
    <w:rsid w:val="004B46ED"/>
    <w:rsid w:val="004B47AF"/>
    <w:rsid w:val="004E017A"/>
    <w:rsid w:val="004E042C"/>
    <w:rsid w:val="004E394E"/>
    <w:rsid w:val="004F5FFE"/>
    <w:rsid w:val="00531BAB"/>
    <w:rsid w:val="005344B5"/>
    <w:rsid w:val="00551C33"/>
    <w:rsid w:val="0055203B"/>
    <w:rsid w:val="005803A4"/>
    <w:rsid w:val="00582FB3"/>
    <w:rsid w:val="00590C0C"/>
    <w:rsid w:val="00596F91"/>
    <w:rsid w:val="005A5427"/>
    <w:rsid w:val="005A6BBB"/>
    <w:rsid w:val="005B63F8"/>
    <w:rsid w:val="005C39C7"/>
    <w:rsid w:val="005C53E8"/>
    <w:rsid w:val="005D0579"/>
    <w:rsid w:val="005D0D54"/>
    <w:rsid w:val="005D4452"/>
    <w:rsid w:val="005E4720"/>
    <w:rsid w:val="005E79F2"/>
    <w:rsid w:val="005F2199"/>
    <w:rsid w:val="005F7E5B"/>
    <w:rsid w:val="00615D9C"/>
    <w:rsid w:val="00622CDB"/>
    <w:rsid w:val="0062531E"/>
    <w:rsid w:val="00626065"/>
    <w:rsid w:val="006306C6"/>
    <w:rsid w:val="0063477B"/>
    <w:rsid w:val="00646D4B"/>
    <w:rsid w:val="00647A65"/>
    <w:rsid w:val="00654A64"/>
    <w:rsid w:val="00666A53"/>
    <w:rsid w:val="0068771B"/>
    <w:rsid w:val="00694FA9"/>
    <w:rsid w:val="006A0AE7"/>
    <w:rsid w:val="006A1686"/>
    <w:rsid w:val="006C23E0"/>
    <w:rsid w:val="006C2CF4"/>
    <w:rsid w:val="006C3DB9"/>
    <w:rsid w:val="006C6AA5"/>
    <w:rsid w:val="006D247E"/>
    <w:rsid w:val="006D457A"/>
    <w:rsid w:val="006D5A47"/>
    <w:rsid w:val="006D68E2"/>
    <w:rsid w:val="006E0A71"/>
    <w:rsid w:val="006E4B50"/>
    <w:rsid w:val="006F7E3F"/>
    <w:rsid w:val="007119A1"/>
    <w:rsid w:val="0072774F"/>
    <w:rsid w:val="00734798"/>
    <w:rsid w:val="00736336"/>
    <w:rsid w:val="00741F6C"/>
    <w:rsid w:val="00743D85"/>
    <w:rsid w:val="0074568E"/>
    <w:rsid w:val="00764901"/>
    <w:rsid w:val="00765225"/>
    <w:rsid w:val="00771DB2"/>
    <w:rsid w:val="007815AB"/>
    <w:rsid w:val="0078469F"/>
    <w:rsid w:val="00795527"/>
    <w:rsid w:val="007E79F3"/>
    <w:rsid w:val="007F2468"/>
    <w:rsid w:val="00810900"/>
    <w:rsid w:val="008115BB"/>
    <w:rsid w:val="008239AD"/>
    <w:rsid w:val="00836E52"/>
    <w:rsid w:val="00844152"/>
    <w:rsid w:val="00847B1A"/>
    <w:rsid w:val="008516F5"/>
    <w:rsid w:val="00856E78"/>
    <w:rsid w:val="008650EB"/>
    <w:rsid w:val="00871A10"/>
    <w:rsid w:val="00874313"/>
    <w:rsid w:val="00880418"/>
    <w:rsid w:val="008817FA"/>
    <w:rsid w:val="0088370E"/>
    <w:rsid w:val="0088562F"/>
    <w:rsid w:val="00891251"/>
    <w:rsid w:val="008A3CC7"/>
    <w:rsid w:val="008A447E"/>
    <w:rsid w:val="008A6D52"/>
    <w:rsid w:val="008B1E28"/>
    <w:rsid w:val="008B4C11"/>
    <w:rsid w:val="008C0B0C"/>
    <w:rsid w:val="008C5E91"/>
    <w:rsid w:val="008C7279"/>
    <w:rsid w:val="008D113B"/>
    <w:rsid w:val="008D4480"/>
    <w:rsid w:val="008F3305"/>
    <w:rsid w:val="008F5519"/>
    <w:rsid w:val="00903C93"/>
    <w:rsid w:val="00906385"/>
    <w:rsid w:val="00910B19"/>
    <w:rsid w:val="0091448F"/>
    <w:rsid w:val="009148E7"/>
    <w:rsid w:val="00930C55"/>
    <w:rsid w:val="00941422"/>
    <w:rsid w:val="009431FE"/>
    <w:rsid w:val="00957E48"/>
    <w:rsid w:val="00960724"/>
    <w:rsid w:val="00961DF7"/>
    <w:rsid w:val="0096218F"/>
    <w:rsid w:val="009630D6"/>
    <w:rsid w:val="00967F0F"/>
    <w:rsid w:val="00973A8B"/>
    <w:rsid w:val="00976F10"/>
    <w:rsid w:val="00980F99"/>
    <w:rsid w:val="009831C1"/>
    <w:rsid w:val="00986E9E"/>
    <w:rsid w:val="00991FB4"/>
    <w:rsid w:val="009A71B2"/>
    <w:rsid w:val="009B02A0"/>
    <w:rsid w:val="009B45D1"/>
    <w:rsid w:val="009B7565"/>
    <w:rsid w:val="009C14AF"/>
    <w:rsid w:val="009C4CD9"/>
    <w:rsid w:val="009C5B55"/>
    <w:rsid w:val="009D5F07"/>
    <w:rsid w:val="009D64D7"/>
    <w:rsid w:val="009D661F"/>
    <w:rsid w:val="009F0C92"/>
    <w:rsid w:val="009F31A7"/>
    <w:rsid w:val="00A0030B"/>
    <w:rsid w:val="00A21F2C"/>
    <w:rsid w:val="00A27D7A"/>
    <w:rsid w:val="00A34A86"/>
    <w:rsid w:val="00A35D38"/>
    <w:rsid w:val="00A3613D"/>
    <w:rsid w:val="00A371E8"/>
    <w:rsid w:val="00A51802"/>
    <w:rsid w:val="00A677B2"/>
    <w:rsid w:val="00A9158A"/>
    <w:rsid w:val="00A95E14"/>
    <w:rsid w:val="00AA10FD"/>
    <w:rsid w:val="00AA59D6"/>
    <w:rsid w:val="00AC3A63"/>
    <w:rsid w:val="00AD0738"/>
    <w:rsid w:val="00AE1136"/>
    <w:rsid w:val="00B0063D"/>
    <w:rsid w:val="00B0178D"/>
    <w:rsid w:val="00B11CDE"/>
    <w:rsid w:val="00B25ED3"/>
    <w:rsid w:val="00B32ECF"/>
    <w:rsid w:val="00B4091D"/>
    <w:rsid w:val="00B43A2D"/>
    <w:rsid w:val="00B4672E"/>
    <w:rsid w:val="00B50934"/>
    <w:rsid w:val="00B5387E"/>
    <w:rsid w:val="00B56788"/>
    <w:rsid w:val="00B576B3"/>
    <w:rsid w:val="00B65F21"/>
    <w:rsid w:val="00B7173F"/>
    <w:rsid w:val="00B80A8C"/>
    <w:rsid w:val="00B831B3"/>
    <w:rsid w:val="00B90227"/>
    <w:rsid w:val="00B97675"/>
    <w:rsid w:val="00BA1E1C"/>
    <w:rsid w:val="00BA21BD"/>
    <w:rsid w:val="00BC55F7"/>
    <w:rsid w:val="00BD3089"/>
    <w:rsid w:val="00BD5093"/>
    <w:rsid w:val="00BD5194"/>
    <w:rsid w:val="00BE0DCF"/>
    <w:rsid w:val="00BE3A19"/>
    <w:rsid w:val="00BE78F8"/>
    <w:rsid w:val="00BF287C"/>
    <w:rsid w:val="00BF52C4"/>
    <w:rsid w:val="00C00697"/>
    <w:rsid w:val="00C10472"/>
    <w:rsid w:val="00C1110A"/>
    <w:rsid w:val="00C1447B"/>
    <w:rsid w:val="00C30947"/>
    <w:rsid w:val="00C52E30"/>
    <w:rsid w:val="00C62FFB"/>
    <w:rsid w:val="00C666C4"/>
    <w:rsid w:val="00C709DC"/>
    <w:rsid w:val="00C76277"/>
    <w:rsid w:val="00C86E82"/>
    <w:rsid w:val="00C921EB"/>
    <w:rsid w:val="00C92FFD"/>
    <w:rsid w:val="00C95348"/>
    <w:rsid w:val="00C95739"/>
    <w:rsid w:val="00CD6F6F"/>
    <w:rsid w:val="00CE1494"/>
    <w:rsid w:val="00CE220D"/>
    <w:rsid w:val="00CE6BC4"/>
    <w:rsid w:val="00CE7A00"/>
    <w:rsid w:val="00D0137E"/>
    <w:rsid w:val="00D0501E"/>
    <w:rsid w:val="00D0574A"/>
    <w:rsid w:val="00D25926"/>
    <w:rsid w:val="00D35346"/>
    <w:rsid w:val="00D429AB"/>
    <w:rsid w:val="00D4775B"/>
    <w:rsid w:val="00D47DB7"/>
    <w:rsid w:val="00D529E8"/>
    <w:rsid w:val="00D56F89"/>
    <w:rsid w:val="00D57F3A"/>
    <w:rsid w:val="00D6253F"/>
    <w:rsid w:val="00D73E56"/>
    <w:rsid w:val="00D86D7F"/>
    <w:rsid w:val="00D90C43"/>
    <w:rsid w:val="00DA323B"/>
    <w:rsid w:val="00DC0461"/>
    <w:rsid w:val="00DC131D"/>
    <w:rsid w:val="00DC70E1"/>
    <w:rsid w:val="00DD4FDE"/>
    <w:rsid w:val="00DD7AB0"/>
    <w:rsid w:val="00DE7E58"/>
    <w:rsid w:val="00E00876"/>
    <w:rsid w:val="00E01F9D"/>
    <w:rsid w:val="00E02D65"/>
    <w:rsid w:val="00E049F3"/>
    <w:rsid w:val="00E175F7"/>
    <w:rsid w:val="00E25161"/>
    <w:rsid w:val="00E333A3"/>
    <w:rsid w:val="00E375F5"/>
    <w:rsid w:val="00E63FD7"/>
    <w:rsid w:val="00E66AC3"/>
    <w:rsid w:val="00E72F0A"/>
    <w:rsid w:val="00E7780A"/>
    <w:rsid w:val="00E85680"/>
    <w:rsid w:val="00E95B1B"/>
    <w:rsid w:val="00EB1E15"/>
    <w:rsid w:val="00ED008A"/>
    <w:rsid w:val="00EE2E1D"/>
    <w:rsid w:val="00F02043"/>
    <w:rsid w:val="00F02B25"/>
    <w:rsid w:val="00F0707C"/>
    <w:rsid w:val="00F170F1"/>
    <w:rsid w:val="00F25BC9"/>
    <w:rsid w:val="00F34FBA"/>
    <w:rsid w:val="00F46AAB"/>
    <w:rsid w:val="00F47ECE"/>
    <w:rsid w:val="00F51514"/>
    <w:rsid w:val="00F54A3F"/>
    <w:rsid w:val="00F55890"/>
    <w:rsid w:val="00F5618D"/>
    <w:rsid w:val="00F665B3"/>
    <w:rsid w:val="00F74BF9"/>
    <w:rsid w:val="00F92AEE"/>
    <w:rsid w:val="00FA5A86"/>
    <w:rsid w:val="00FA5EF1"/>
    <w:rsid w:val="00FD7B39"/>
    <w:rsid w:val="00FE2B96"/>
    <w:rsid w:val="00FF4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25EEA77"/>
  <w15:docId w15:val="{A058A1C2-2F89-4CB2-A037-14FD7EA1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1A7"/>
    <w:rPr>
      <w:rFonts w:cs="Arial"/>
      <w:sz w:val="24"/>
      <w:szCs w:val="24"/>
      <w:lang w:eastAsia="en-US"/>
    </w:rPr>
  </w:style>
  <w:style w:type="paragraph" w:styleId="Heading1">
    <w:name w:val="heading 1"/>
    <w:basedOn w:val="Normal"/>
    <w:next w:val="Normal"/>
    <w:link w:val="Heading1Char"/>
    <w:uiPriority w:val="9"/>
    <w:qFormat/>
    <w:rsid w:val="002708D8"/>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2708D8"/>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2708D8"/>
    <w:pPr>
      <w:keepNext/>
      <w:tabs>
        <w:tab w:val="left" w:pos="-1440"/>
      </w:tabs>
      <w:ind w:left="720" w:hanging="720"/>
      <w:outlineLvl w:val="2"/>
    </w:pPr>
    <w:rPr>
      <w:b/>
      <w:color w:val="FFFFFF"/>
    </w:rPr>
  </w:style>
  <w:style w:type="paragraph" w:styleId="Heading4">
    <w:name w:val="heading 4"/>
    <w:basedOn w:val="Normal"/>
    <w:next w:val="Normal"/>
    <w:link w:val="Heading4Char"/>
    <w:uiPriority w:val="9"/>
    <w:unhideWhenUsed/>
    <w:qFormat/>
    <w:rsid w:val="009F0C92"/>
    <w:pPr>
      <w:keepNext/>
      <w:outlineLvl w:val="3"/>
    </w:pPr>
    <w:rPr>
      <w:b/>
      <w:color w:val="006666"/>
      <w:szCs w:val="22"/>
    </w:rPr>
  </w:style>
  <w:style w:type="paragraph" w:styleId="Heading8">
    <w:name w:val="heading 8"/>
    <w:basedOn w:val="Normal"/>
    <w:next w:val="Normal"/>
    <w:link w:val="Heading8Char"/>
    <w:uiPriority w:val="9"/>
    <w:semiHidden/>
    <w:unhideWhenUsed/>
    <w:qFormat/>
    <w:rsid w:val="002708D8"/>
    <w:pPr>
      <w:keepNext/>
      <w:keepLines/>
      <w:spacing w:before="200"/>
      <w:outlineLvl w:val="7"/>
    </w:pPr>
    <w:rPr>
      <w:rFonts w:ascii="Cambria"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5CB2"/>
    <w:rPr>
      <w:rFonts w:ascii="Cambria" w:hAnsi="Cambria"/>
      <w:b/>
      <w:bCs/>
      <w:color w:val="365F91"/>
      <w:sz w:val="28"/>
      <w:szCs w:val="28"/>
      <w:lang w:eastAsia="en-US"/>
    </w:rPr>
  </w:style>
  <w:style w:type="character" w:customStyle="1" w:styleId="Heading2Char">
    <w:name w:val="Heading 2 Char"/>
    <w:link w:val="Heading2"/>
    <w:uiPriority w:val="9"/>
    <w:locked/>
    <w:rsid w:val="004E394E"/>
    <w:rPr>
      <w:rFonts w:ascii="Cambria" w:hAnsi="Cambria"/>
      <w:b/>
      <w:bCs/>
      <w:color w:val="4F81BD"/>
      <w:sz w:val="26"/>
      <w:szCs w:val="26"/>
      <w:lang w:eastAsia="en-US"/>
    </w:rPr>
  </w:style>
  <w:style w:type="character" w:customStyle="1" w:styleId="Heading3Char">
    <w:name w:val="Heading 3 Char"/>
    <w:link w:val="Heading3"/>
    <w:uiPriority w:val="9"/>
    <w:locked/>
    <w:rsid w:val="008F5519"/>
    <w:rPr>
      <w:rFonts w:cs="Arial"/>
      <w:b/>
      <w:color w:val="FFFFFF"/>
      <w:sz w:val="24"/>
      <w:szCs w:val="24"/>
      <w:lang w:eastAsia="en-US"/>
    </w:rPr>
  </w:style>
  <w:style w:type="character" w:customStyle="1" w:styleId="Heading4Char">
    <w:name w:val="Heading 4 Char"/>
    <w:link w:val="Heading4"/>
    <w:uiPriority w:val="9"/>
    <w:locked/>
    <w:rsid w:val="009F0C92"/>
    <w:rPr>
      <w:rFonts w:cs="Times New Roman"/>
      <w:b/>
      <w:color w:val="006666"/>
      <w:sz w:val="22"/>
      <w:szCs w:val="22"/>
    </w:rPr>
  </w:style>
  <w:style w:type="character" w:customStyle="1" w:styleId="Heading8Char">
    <w:name w:val="Heading 8 Char"/>
    <w:link w:val="Heading8"/>
    <w:uiPriority w:val="9"/>
    <w:semiHidden/>
    <w:locked/>
    <w:rsid w:val="00551C33"/>
    <w:rPr>
      <w:rFonts w:ascii="Cambria" w:hAnsi="Cambria"/>
      <w:color w:val="404040"/>
      <w:lang w:eastAsia="en-US"/>
    </w:rPr>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link w:val="Header"/>
    <w:uiPriority w:val="99"/>
    <w:locked/>
    <w:rsid w:val="00E375F5"/>
    <w:rPr>
      <w:rFonts w:cs="Times New Roman"/>
    </w:rPr>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link w:val="Footer"/>
    <w:uiPriority w:val="99"/>
    <w:locked/>
    <w:rsid w:val="00E375F5"/>
    <w:rPr>
      <w:rFonts w:cs="Times New Roman"/>
    </w:rPr>
  </w:style>
  <w:style w:type="table" w:styleId="TableGrid">
    <w:name w:val="Table Grid"/>
    <w:basedOn w:val="TableNormal"/>
    <w:uiPriority w:val="59"/>
    <w:rsid w:val="00313F8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08D8"/>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link w:val="BalloonText"/>
    <w:uiPriority w:val="99"/>
    <w:semiHidden/>
    <w:locked/>
    <w:rsid w:val="00345CB2"/>
    <w:rPr>
      <w:rFonts w:ascii="Tahoma" w:hAnsi="Tahoma" w:cs="Tahoma"/>
      <w:sz w:val="16"/>
      <w:szCs w:val="16"/>
    </w:rPr>
  </w:style>
  <w:style w:type="paragraph" w:styleId="TOC1">
    <w:name w:val="toc 1"/>
    <w:basedOn w:val="Normal"/>
    <w:next w:val="Normal"/>
    <w:autoRedefine/>
    <w:uiPriority w:val="39"/>
    <w:unhideWhenUsed/>
    <w:qFormat/>
    <w:rsid w:val="00C921EB"/>
    <w:pPr>
      <w:tabs>
        <w:tab w:val="left" w:pos="426"/>
        <w:tab w:val="right" w:leader="dot" w:pos="9016"/>
      </w:tabs>
      <w:spacing w:after="100"/>
    </w:pPr>
  </w:style>
  <w:style w:type="character" w:styleId="Hyperlink">
    <w:name w:val="Hyperlink"/>
    <w:uiPriority w:val="99"/>
    <w:unhideWhenUsed/>
    <w:rsid w:val="003256A3"/>
    <w:rPr>
      <w:rFonts w:cs="Times New Roman"/>
      <w:noProof/>
      <w:color w:val="0000FF"/>
      <w:u w:val="single"/>
    </w:rPr>
  </w:style>
  <w:style w:type="paragraph" w:styleId="ListParagraph">
    <w:name w:val="List Paragraph"/>
    <w:basedOn w:val="Normal"/>
    <w:uiPriority w:val="34"/>
    <w:qFormat/>
    <w:rsid w:val="0091448F"/>
    <w:pPr>
      <w:ind w:left="720"/>
      <w:contextualSpacing/>
    </w:pPr>
  </w:style>
  <w:style w:type="paragraph" w:styleId="TOC2">
    <w:name w:val="toc 2"/>
    <w:basedOn w:val="Normal"/>
    <w:next w:val="Normal"/>
    <w:autoRedefine/>
    <w:uiPriority w:val="39"/>
    <w:unhideWhenUsed/>
    <w:qFormat/>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link w:val="BodyText"/>
    <w:uiPriority w:val="99"/>
    <w:locked/>
    <w:rsid w:val="00F665B3"/>
    <w:rPr>
      <w:rFonts w:cs="Times New Roman"/>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link w:val="BodyText2"/>
    <w:uiPriority w:val="99"/>
    <w:locked/>
    <w:rsid w:val="00E7780A"/>
    <w:rPr>
      <w:rFonts w:cs="Times New Roman"/>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link w:val="BodyTextIndent"/>
    <w:uiPriority w:val="99"/>
    <w:locked/>
    <w:rsid w:val="00E7780A"/>
    <w:rPr>
      <w:rFonts w:cs="Times New Roman"/>
      <w:sz w:val="22"/>
      <w:szCs w:val="22"/>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zCs w:val="22"/>
    </w:rPr>
  </w:style>
  <w:style w:type="character" w:customStyle="1" w:styleId="BodyTextIndent2Char">
    <w:name w:val="Body Text Indent 2 Char"/>
    <w:link w:val="BodyTextIndent2"/>
    <w:uiPriority w:val="99"/>
    <w:locked/>
    <w:rsid w:val="00856E78"/>
    <w:rPr>
      <w:rFonts w:eastAsia="Times New Roman" w:cs="Times New Roman"/>
      <w:snapToGrid w:val="0"/>
      <w:sz w:val="22"/>
      <w:szCs w:val="22"/>
    </w:rPr>
  </w:style>
  <w:style w:type="paragraph" w:styleId="TOC3">
    <w:name w:val="toc 3"/>
    <w:basedOn w:val="Normal"/>
    <w:next w:val="Normal"/>
    <w:autoRedefine/>
    <w:uiPriority w:val="39"/>
    <w:unhideWhenUsed/>
    <w:qFormat/>
    <w:rsid w:val="00133F03"/>
    <w:pPr>
      <w:spacing w:after="100"/>
      <w:ind w:left="480"/>
    </w:pPr>
  </w:style>
  <w:style w:type="paragraph" w:styleId="BodyTextIndent3">
    <w:name w:val="Body Text Indent 3"/>
    <w:basedOn w:val="Normal"/>
    <w:link w:val="BodyTextIndent3Char"/>
    <w:uiPriority w:val="99"/>
    <w:unhideWhenUsed/>
    <w:rsid w:val="0031514D"/>
    <w:pPr>
      <w:ind w:left="720"/>
    </w:pPr>
    <w:rPr>
      <w:color w:val="000000"/>
    </w:rPr>
  </w:style>
  <w:style w:type="character" w:customStyle="1" w:styleId="BodyTextIndent3Char">
    <w:name w:val="Body Text Indent 3 Char"/>
    <w:link w:val="BodyTextIndent3"/>
    <w:uiPriority w:val="99"/>
    <w:locked/>
    <w:rsid w:val="0031514D"/>
    <w:rPr>
      <w:rFonts w:eastAsia="Times New Roman" w:cs="Times New Roman"/>
      <w:color w:val="000000"/>
    </w:rPr>
  </w:style>
  <w:style w:type="paragraph" w:styleId="BodyText3">
    <w:name w:val="Body Text 3"/>
    <w:basedOn w:val="Normal"/>
    <w:link w:val="BodyText3Char"/>
    <w:uiPriority w:val="99"/>
    <w:unhideWhenUsed/>
    <w:rsid w:val="00930C55"/>
    <w:rPr>
      <w:color w:val="000000"/>
    </w:rPr>
  </w:style>
  <w:style w:type="character" w:customStyle="1" w:styleId="BodyText3Char">
    <w:name w:val="Body Text 3 Char"/>
    <w:link w:val="BodyText3"/>
    <w:uiPriority w:val="99"/>
    <w:locked/>
    <w:rsid w:val="00930C55"/>
    <w:rPr>
      <w:rFonts w:eastAsia="Times New Roman" w:cs="Times New Roman"/>
      <w:color w:val="000000"/>
    </w:rPr>
  </w:style>
  <w:style w:type="table" w:customStyle="1" w:styleId="TableGrid1">
    <w:name w:val="Table Grid1"/>
    <w:basedOn w:val="TableNormal"/>
    <w:next w:val="TableGrid"/>
    <w:uiPriority w:val="59"/>
    <w:rsid w:val="009F0C9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708D8"/>
    <w:pPr>
      <w:spacing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708D8"/>
    <w:pPr>
      <w:spacing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708D8"/>
    <w:pPr>
      <w:spacing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708D8"/>
    <w:pPr>
      <w:spacing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708D8"/>
    <w:pPr>
      <w:spacing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708D8"/>
    <w:pPr>
      <w:spacing w:after="100" w:line="276" w:lineRule="auto"/>
      <w:ind w:left="1760"/>
    </w:pPr>
    <w:rPr>
      <w:rFonts w:ascii="Calibri" w:hAnsi="Calibri" w:cs="Times New Roman"/>
      <w:sz w:val="22"/>
      <w:szCs w:val="22"/>
      <w:lang w:eastAsia="en-GB"/>
    </w:rPr>
  </w:style>
  <w:style w:type="character" w:styleId="FollowedHyperlink">
    <w:name w:val="FollowedHyperlink"/>
    <w:uiPriority w:val="99"/>
    <w:semiHidden/>
    <w:unhideWhenUsed/>
    <w:rsid w:val="002708D8"/>
    <w:rPr>
      <w:rFonts w:cs="Times New Roman"/>
      <w:color w:val="800080"/>
      <w:u w:val="single"/>
    </w:rPr>
  </w:style>
  <w:style w:type="character" w:styleId="PageNumber">
    <w:name w:val="page number"/>
    <w:rsid w:val="00551C33"/>
    <w:rPr>
      <w:rFonts w:cs="Times New Roman"/>
    </w:rPr>
  </w:style>
  <w:style w:type="paragraph" w:styleId="NoSpacing">
    <w:name w:val="No Spacing"/>
    <w:uiPriority w:val="1"/>
    <w:qFormat/>
    <w:rsid w:val="00880418"/>
    <w:rPr>
      <w:rFonts w:cs="Arial"/>
      <w:sz w:val="24"/>
      <w:szCs w:val="24"/>
      <w:lang w:eastAsia="en-US"/>
    </w:rPr>
  </w:style>
  <w:style w:type="table" w:customStyle="1" w:styleId="TableGrid2">
    <w:name w:val="Table Grid2"/>
    <w:basedOn w:val="TableNormal"/>
    <w:next w:val="TableGrid"/>
    <w:rsid w:val="004B46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08D8"/>
    <w:rPr>
      <w:sz w:val="16"/>
      <w:szCs w:val="16"/>
    </w:rPr>
  </w:style>
  <w:style w:type="paragraph" w:styleId="CommentText">
    <w:name w:val="annotation text"/>
    <w:basedOn w:val="Normal"/>
    <w:link w:val="CommentTextChar"/>
    <w:uiPriority w:val="99"/>
    <w:semiHidden/>
    <w:unhideWhenUsed/>
    <w:rsid w:val="002708D8"/>
    <w:rPr>
      <w:rFonts w:eastAsiaTheme="minorHAnsi"/>
      <w:sz w:val="20"/>
      <w:szCs w:val="20"/>
    </w:rPr>
  </w:style>
  <w:style w:type="character" w:customStyle="1" w:styleId="CommentTextChar">
    <w:name w:val="Comment Text Char"/>
    <w:basedOn w:val="DefaultParagraphFont"/>
    <w:link w:val="CommentText"/>
    <w:uiPriority w:val="99"/>
    <w:semiHidden/>
    <w:rsid w:val="002708D8"/>
    <w:rPr>
      <w:rFonts w:eastAsiaTheme="minorHAnsi" w:cs="Arial"/>
      <w:lang w:eastAsia="en-US"/>
    </w:rPr>
  </w:style>
  <w:style w:type="paragraph" w:styleId="CommentSubject">
    <w:name w:val="annotation subject"/>
    <w:basedOn w:val="CommentText"/>
    <w:next w:val="CommentText"/>
    <w:link w:val="CommentSubjectChar"/>
    <w:uiPriority w:val="99"/>
    <w:semiHidden/>
    <w:unhideWhenUsed/>
    <w:rsid w:val="002708D8"/>
    <w:rPr>
      <w:b/>
      <w:bCs/>
    </w:rPr>
  </w:style>
  <w:style w:type="character" w:customStyle="1" w:styleId="CommentSubjectChar">
    <w:name w:val="Comment Subject Char"/>
    <w:basedOn w:val="CommentTextChar"/>
    <w:link w:val="CommentSubject"/>
    <w:uiPriority w:val="99"/>
    <w:semiHidden/>
    <w:rsid w:val="002708D8"/>
    <w:rPr>
      <w:rFonts w:eastAsiaTheme="minorHAnsi" w:cs="Arial"/>
      <w:b/>
      <w:bCs/>
      <w:lang w:eastAsia="en-US"/>
    </w:rPr>
  </w:style>
  <w:style w:type="character" w:styleId="FootnoteReference">
    <w:name w:val="footnote reference"/>
    <w:semiHidden/>
    <w:rsid w:val="00C92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9846">
      <w:bodyDiv w:val="1"/>
      <w:marLeft w:val="0"/>
      <w:marRight w:val="0"/>
      <w:marTop w:val="0"/>
      <w:marBottom w:val="0"/>
      <w:divBdr>
        <w:top w:val="none" w:sz="0" w:space="0" w:color="auto"/>
        <w:left w:val="none" w:sz="0" w:space="0" w:color="auto"/>
        <w:bottom w:val="none" w:sz="0" w:space="0" w:color="auto"/>
        <w:right w:val="none" w:sz="0" w:space="0" w:color="auto"/>
      </w:divBdr>
      <w:divsChild>
        <w:div w:id="1414083311">
          <w:marLeft w:val="0"/>
          <w:marRight w:val="0"/>
          <w:marTop w:val="0"/>
          <w:marBottom w:val="0"/>
          <w:divBdr>
            <w:top w:val="none" w:sz="0" w:space="0" w:color="auto"/>
            <w:left w:val="none" w:sz="0" w:space="0" w:color="auto"/>
            <w:bottom w:val="none" w:sz="0" w:space="0" w:color="auto"/>
            <w:right w:val="none" w:sz="0" w:space="0" w:color="auto"/>
          </w:divBdr>
          <w:divsChild>
            <w:div w:id="1191383971">
              <w:marLeft w:val="0"/>
              <w:marRight w:val="0"/>
              <w:marTop w:val="0"/>
              <w:marBottom w:val="0"/>
              <w:divBdr>
                <w:top w:val="none" w:sz="0" w:space="0" w:color="auto"/>
                <w:left w:val="none" w:sz="0" w:space="0" w:color="auto"/>
                <w:bottom w:val="none" w:sz="0" w:space="0" w:color="auto"/>
                <w:right w:val="none" w:sz="0" w:space="0" w:color="auto"/>
              </w:divBdr>
              <w:divsChild>
                <w:div w:id="75834479">
                  <w:marLeft w:val="0"/>
                  <w:marRight w:val="0"/>
                  <w:marTop w:val="0"/>
                  <w:marBottom w:val="0"/>
                  <w:divBdr>
                    <w:top w:val="none" w:sz="0" w:space="0" w:color="auto"/>
                    <w:left w:val="none" w:sz="0" w:space="0" w:color="auto"/>
                    <w:bottom w:val="none" w:sz="0" w:space="0" w:color="auto"/>
                    <w:right w:val="none" w:sz="0" w:space="0" w:color="auto"/>
                  </w:divBdr>
                  <w:divsChild>
                    <w:div w:id="2009600308">
                      <w:marLeft w:val="0"/>
                      <w:marRight w:val="0"/>
                      <w:marTop w:val="0"/>
                      <w:marBottom w:val="0"/>
                      <w:divBdr>
                        <w:top w:val="none" w:sz="0" w:space="0" w:color="auto"/>
                        <w:left w:val="none" w:sz="0" w:space="0" w:color="auto"/>
                        <w:bottom w:val="none" w:sz="0" w:space="0" w:color="auto"/>
                        <w:right w:val="none" w:sz="0" w:space="0" w:color="auto"/>
                      </w:divBdr>
                      <w:divsChild>
                        <w:div w:id="20234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099075">
      <w:bodyDiv w:val="1"/>
      <w:marLeft w:val="0"/>
      <w:marRight w:val="0"/>
      <w:marTop w:val="0"/>
      <w:marBottom w:val="0"/>
      <w:divBdr>
        <w:top w:val="none" w:sz="0" w:space="0" w:color="auto"/>
        <w:left w:val="none" w:sz="0" w:space="0" w:color="auto"/>
        <w:bottom w:val="none" w:sz="0" w:space="0" w:color="auto"/>
        <w:right w:val="none" w:sz="0" w:space="0" w:color="auto"/>
      </w:divBdr>
      <w:divsChild>
        <w:div w:id="2029796463">
          <w:marLeft w:val="0"/>
          <w:marRight w:val="0"/>
          <w:marTop w:val="480"/>
          <w:marBottom w:val="240"/>
          <w:divBdr>
            <w:top w:val="none" w:sz="0" w:space="0" w:color="auto"/>
            <w:left w:val="single" w:sz="48" w:space="12" w:color="BFC1C3"/>
            <w:bottom w:val="none" w:sz="0" w:space="0" w:color="auto"/>
            <w:right w:val="none" w:sz="0" w:space="0" w:color="auto"/>
          </w:divBdr>
        </w:div>
      </w:divsChild>
    </w:div>
    <w:div w:id="369258785">
      <w:bodyDiv w:val="1"/>
      <w:marLeft w:val="0"/>
      <w:marRight w:val="0"/>
      <w:marTop w:val="0"/>
      <w:marBottom w:val="0"/>
      <w:divBdr>
        <w:top w:val="none" w:sz="0" w:space="0" w:color="auto"/>
        <w:left w:val="none" w:sz="0" w:space="0" w:color="auto"/>
        <w:bottom w:val="none" w:sz="0" w:space="0" w:color="auto"/>
        <w:right w:val="none" w:sz="0" w:space="0" w:color="auto"/>
      </w:divBdr>
      <w:divsChild>
        <w:div w:id="840969510">
          <w:marLeft w:val="0"/>
          <w:marRight w:val="0"/>
          <w:marTop w:val="0"/>
          <w:marBottom w:val="0"/>
          <w:divBdr>
            <w:top w:val="none" w:sz="0" w:space="0" w:color="auto"/>
            <w:left w:val="none" w:sz="0" w:space="0" w:color="auto"/>
            <w:bottom w:val="none" w:sz="0" w:space="0" w:color="auto"/>
            <w:right w:val="none" w:sz="0" w:space="0" w:color="auto"/>
          </w:divBdr>
          <w:divsChild>
            <w:div w:id="1168517891">
              <w:marLeft w:val="0"/>
              <w:marRight w:val="0"/>
              <w:marTop w:val="0"/>
              <w:marBottom w:val="0"/>
              <w:divBdr>
                <w:top w:val="none" w:sz="0" w:space="0" w:color="auto"/>
                <w:left w:val="none" w:sz="0" w:space="0" w:color="auto"/>
                <w:bottom w:val="none" w:sz="0" w:space="0" w:color="auto"/>
                <w:right w:val="none" w:sz="0" w:space="0" w:color="auto"/>
              </w:divBdr>
              <w:divsChild>
                <w:div w:id="1637417415">
                  <w:marLeft w:val="0"/>
                  <w:marRight w:val="0"/>
                  <w:marTop w:val="0"/>
                  <w:marBottom w:val="0"/>
                  <w:divBdr>
                    <w:top w:val="none" w:sz="0" w:space="0" w:color="auto"/>
                    <w:left w:val="none" w:sz="0" w:space="0" w:color="auto"/>
                    <w:bottom w:val="none" w:sz="0" w:space="0" w:color="auto"/>
                    <w:right w:val="none" w:sz="0" w:space="0" w:color="auto"/>
                  </w:divBdr>
                  <w:divsChild>
                    <w:div w:id="1586379229">
                      <w:marLeft w:val="0"/>
                      <w:marRight w:val="0"/>
                      <w:marTop w:val="0"/>
                      <w:marBottom w:val="0"/>
                      <w:divBdr>
                        <w:top w:val="none" w:sz="0" w:space="0" w:color="auto"/>
                        <w:left w:val="none" w:sz="0" w:space="0" w:color="auto"/>
                        <w:bottom w:val="none" w:sz="0" w:space="0" w:color="auto"/>
                        <w:right w:val="none" w:sz="0" w:space="0" w:color="auto"/>
                      </w:divBdr>
                      <w:divsChild>
                        <w:div w:id="8010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47148">
      <w:bodyDiv w:val="1"/>
      <w:marLeft w:val="0"/>
      <w:marRight w:val="0"/>
      <w:marTop w:val="0"/>
      <w:marBottom w:val="0"/>
      <w:divBdr>
        <w:top w:val="none" w:sz="0" w:space="0" w:color="auto"/>
        <w:left w:val="none" w:sz="0" w:space="0" w:color="auto"/>
        <w:bottom w:val="none" w:sz="0" w:space="0" w:color="auto"/>
        <w:right w:val="none" w:sz="0" w:space="0" w:color="auto"/>
      </w:divBdr>
    </w:div>
    <w:div w:id="849417346">
      <w:bodyDiv w:val="1"/>
      <w:marLeft w:val="0"/>
      <w:marRight w:val="0"/>
      <w:marTop w:val="0"/>
      <w:marBottom w:val="0"/>
      <w:divBdr>
        <w:top w:val="none" w:sz="0" w:space="0" w:color="auto"/>
        <w:left w:val="none" w:sz="0" w:space="0" w:color="auto"/>
        <w:bottom w:val="none" w:sz="0" w:space="0" w:color="auto"/>
        <w:right w:val="none" w:sz="0" w:space="0" w:color="auto"/>
      </w:divBdr>
    </w:div>
    <w:div w:id="936253475">
      <w:bodyDiv w:val="1"/>
      <w:marLeft w:val="0"/>
      <w:marRight w:val="0"/>
      <w:marTop w:val="0"/>
      <w:marBottom w:val="0"/>
      <w:divBdr>
        <w:top w:val="none" w:sz="0" w:space="0" w:color="auto"/>
        <w:left w:val="none" w:sz="0" w:space="0" w:color="auto"/>
        <w:bottom w:val="none" w:sz="0" w:space="0" w:color="auto"/>
        <w:right w:val="none" w:sz="0" w:space="0" w:color="auto"/>
      </w:divBdr>
    </w:div>
    <w:div w:id="1184830513">
      <w:bodyDiv w:val="1"/>
      <w:marLeft w:val="0"/>
      <w:marRight w:val="0"/>
      <w:marTop w:val="0"/>
      <w:marBottom w:val="0"/>
      <w:divBdr>
        <w:top w:val="none" w:sz="0" w:space="0" w:color="auto"/>
        <w:left w:val="none" w:sz="0" w:space="0" w:color="auto"/>
        <w:bottom w:val="none" w:sz="0" w:space="0" w:color="auto"/>
        <w:right w:val="none" w:sz="0" w:space="0" w:color="auto"/>
      </w:divBdr>
      <w:divsChild>
        <w:div w:id="1432434043">
          <w:marLeft w:val="0"/>
          <w:marRight w:val="0"/>
          <w:marTop w:val="0"/>
          <w:marBottom w:val="0"/>
          <w:divBdr>
            <w:top w:val="none" w:sz="0" w:space="0" w:color="auto"/>
            <w:left w:val="none" w:sz="0" w:space="0" w:color="auto"/>
            <w:bottom w:val="none" w:sz="0" w:space="0" w:color="auto"/>
            <w:right w:val="none" w:sz="0" w:space="0" w:color="auto"/>
          </w:divBdr>
          <w:divsChild>
            <w:div w:id="1396197677">
              <w:marLeft w:val="0"/>
              <w:marRight w:val="0"/>
              <w:marTop w:val="0"/>
              <w:marBottom w:val="0"/>
              <w:divBdr>
                <w:top w:val="none" w:sz="0" w:space="0" w:color="auto"/>
                <w:left w:val="none" w:sz="0" w:space="0" w:color="auto"/>
                <w:bottom w:val="none" w:sz="0" w:space="0" w:color="auto"/>
                <w:right w:val="none" w:sz="0" w:space="0" w:color="auto"/>
              </w:divBdr>
              <w:divsChild>
                <w:div w:id="682976709">
                  <w:marLeft w:val="0"/>
                  <w:marRight w:val="0"/>
                  <w:marTop w:val="0"/>
                  <w:marBottom w:val="0"/>
                  <w:divBdr>
                    <w:top w:val="none" w:sz="0" w:space="0" w:color="auto"/>
                    <w:left w:val="none" w:sz="0" w:space="0" w:color="auto"/>
                    <w:bottom w:val="none" w:sz="0" w:space="0" w:color="auto"/>
                    <w:right w:val="none" w:sz="0" w:space="0" w:color="auto"/>
                  </w:divBdr>
                  <w:divsChild>
                    <w:div w:id="573668725">
                      <w:marLeft w:val="0"/>
                      <w:marRight w:val="0"/>
                      <w:marTop w:val="0"/>
                      <w:marBottom w:val="0"/>
                      <w:divBdr>
                        <w:top w:val="none" w:sz="0" w:space="0" w:color="auto"/>
                        <w:left w:val="none" w:sz="0" w:space="0" w:color="auto"/>
                        <w:bottom w:val="none" w:sz="0" w:space="0" w:color="auto"/>
                        <w:right w:val="none" w:sz="0" w:space="0" w:color="auto"/>
                      </w:divBdr>
                      <w:divsChild>
                        <w:div w:id="9827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1104">
      <w:bodyDiv w:val="1"/>
      <w:marLeft w:val="0"/>
      <w:marRight w:val="0"/>
      <w:marTop w:val="0"/>
      <w:marBottom w:val="0"/>
      <w:divBdr>
        <w:top w:val="none" w:sz="0" w:space="0" w:color="auto"/>
        <w:left w:val="none" w:sz="0" w:space="0" w:color="auto"/>
        <w:bottom w:val="none" w:sz="0" w:space="0" w:color="auto"/>
        <w:right w:val="none" w:sz="0" w:space="0" w:color="auto"/>
      </w:divBdr>
      <w:divsChild>
        <w:div w:id="2122919160">
          <w:marLeft w:val="0"/>
          <w:marRight w:val="0"/>
          <w:marTop w:val="0"/>
          <w:marBottom w:val="0"/>
          <w:divBdr>
            <w:top w:val="none" w:sz="0" w:space="0" w:color="auto"/>
            <w:left w:val="none" w:sz="0" w:space="0" w:color="auto"/>
            <w:bottom w:val="none" w:sz="0" w:space="0" w:color="auto"/>
            <w:right w:val="none" w:sz="0" w:space="0" w:color="auto"/>
          </w:divBdr>
          <w:divsChild>
            <w:div w:id="496501496">
              <w:marLeft w:val="0"/>
              <w:marRight w:val="0"/>
              <w:marTop w:val="0"/>
              <w:marBottom w:val="0"/>
              <w:divBdr>
                <w:top w:val="none" w:sz="0" w:space="0" w:color="auto"/>
                <w:left w:val="none" w:sz="0" w:space="0" w:color="auto"/>
                <w:bottom w:val="none" w:sz="0" w:space="0" w:color="auto"/>
                <w:right w:val="none" w:sz="0" w:space="0" w:color="auto"/>
              </w:divBdr>
              <w:divsChild>
                <w:div w:id="1084566562">
                  <w:marLeft w:val="0"/>
                  <w:marRight w:val="0"/>
                  <w:marTop w:val="0"/>
                  <w:marBottom w:val="0"/>
                  <w:divBdr>
                    <w:top w:val="none" w:sz="0" w:space="0" w:color="auto"/>
                    <w:left w:val="none" w:sz="0" w:space="0" w:color="auto"/>
                    <w:bottom w:val="none" w:sz="0" w:space="0" w:color="auto"/>
                    <w:right w:val="none" w:sz="0" w:space="0" w:color="auto"/>
                  </w:divBdr>
                  <w:divsChild>
                    <w:div w:id="1588730683">
                      <w:marLeft w:val="0"/>
                      <w:marRight w:val="0"/>
                      <w:marTop w:val="0"/>
                      <w:marBottom w:val="0"/>
                      <w:divBdr>
                        <w:top w:val="none" w:sz="0" w:space="0" w:color="auto"/>
                        <w:left w:val="none" w:sz="0" w:space="0" w:color="auto"/>
                        <w:bottom w:val="none" w:sz="0" w:space="0" w:color="auto"/>
                        <w:right w:val="none" w:sz="0" w:space="0" w:color="auto"/>
                      </w:divBdr>
                      <w:divsChild>
                        <w:div w:id="8479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44623">
      <w:marLeft w:val="0"/>
      <w:marRight w:val="0"/>
      <w:marTop w:val="0"/>
      <w:marBottom w:val="0"/>
      <w:divBdr>
        <w:top w:val="none" w:sz="0" w:space="0" w:color="auto"/>
        <w:left w:val="none" w:sz="0" w:space="0" w:color="auto"/>
        <w:bottom w:val="none" w:sz="0" w:space="0" w:color="auto"/>
        <w:right w:val="none" w:sz="0" w:space="0" w:color="auto"/>
      </w:divBdr>
      <w:divsChild>
        <w:div w:id="1783644638">
          <w:marLeft w:val="0"/>
          <w:marRight w:val="0"/>
          <w:marTop w:val="0"/>
          <w:marBottom w:val="0"/>
          <w:divBdr>
            <w:top w:val="none" w:sz="0" w:space="0" w:color="auto"/>
            <w:left w:val="none" w:sz="0" w:space="0" w:color="auto"/>
            <w:bottom w:val="none" w:sz="0" w:space="0" w:color="auto"/>
            <w:right w:val="none" w:sz="0" w:space="0" w:color="auto"/>
          </w:divBdr>
          <w:divsChild>
            <w:div w:id="1783644636">
              <w:marLeft w:val="0"/>
              <w:marRight w:val="0"/>
              <w:marTop w:val="0"/>
              <w:marBottom w:val="0"/>
              <w:divBdr>
                <w:top w:val="none" w:sz="0" w:space="0" w:color="auto"/>
                <w:left w:val="none" w:sz="0" w:space="0" w:color="auto"/>
                <w:bottom w:val="none" w:sz="0" w:space="0" w:color="auto"/>
                <w:right w:val="none" w:sz="0" w:space="0" w:color="auto"/>
              </w:divBdr>
              <w:divsChild>
                <w:div w:id="1783644624">
                  <w:marLeft w:val="0"/>
                  <w:marRight w:val="0"/>
                  <w:marTop w:val="0"/>
                  <w:marBottom w:val="0"/>
                  <w:divBdr>
                    <w:top w:val="none" w:sz="0" w:space="0" w:color="auto"/>
                    <w:left w:val="none" w:sz="0" w:space="0" w:color="auto"/>
                    <w:bottom w:val="none" w:sz="0" w:space="0" w:color="auto"/>
                    <w:right w:val="none" w:sz="0" w:space="0" w:color="auto"/>
                  </w:divBdr>
                  <w:divsChild>
                    <w:div w:id="1783644642">
                      <w:marLeft w:val="0"/>
                      <w:marRight w:val="0"/>
                      <w:marTop w:val="0"/>
                      <w:marBottom w:val="0"/>
                      <w:divBdr>
                        <w:top w:val="none" w:sz="0" w:space="0" w:color="auto"/>
                        <w:left w:val="none" w:sz="0" w:space="0" w:color="auto"/>
                        <w:bottom w:val="none" w:sz="0" w:space="0" w:color="auto"/>
                        <w:right w:val="none" w:sz="0" w:space="0" w:color="auto"/>
                      </w:divBdr>
                      <w:divsChild>
                        <w:div w:id="17836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44625">
      <w:marLeft w:val="0"/>
      <w:marRight w:val="0"/>
      <w:marTop w:val="0"/>
      <w:marBottom w:val="0"/>
      <w:divBdr>
        <w:top w:val="none" w:sz="0" w:space="0" w:color="auto"/>
        <w:left w:val="none" w:sz="0" w:space="0" w:color="auto"/>
        <w:bottom w:val="none" w:sz="0" w:space="0" w:color="auto"/>
        <w:right w:val="none" w:sz="0" w:space="0" w:color="auto"/>
      </w:divBdr>
      <w:divsChild>
        <w:div w:id="1783644644">
          <w:marLeft w:val="0"/>
          <w:marRight w:val="0"/>
          <w:marTop w:val="480"/>
          <w:marBottom w:val="240"/>
          <w:divBdr>
            <w:top w:val="none" w:sz="0" w:space="0" w:color="auto"/>
            <w:left w:val="single" w:sz="48" w:space="12" w:color="BFC1C3"/>
            <w:bottom w:val="none" w:sz="0" w:space="0" w:color="auto"/>
            <w:right w:val="none" w:sz="0" w:space="0" w:color="auto"/>
          </w:divBdr>
        </w:div>
      </w:divsChild>
    </w:div>
    <w:div w:id="1783644626">
      <w:marLeft w:val="0"/>
      <w:marRight w:val="0"/>
      <w:marTop w:val="0"/>
      <w:marBottom w:val="0"/>
      <w:divBdr>
        <w:top w:val="none" w:sz="0" w:space="0" w:color="auto"/>
        <w:left w:val="none" w:sz="0" w:space="0" w:color="auto"/>
        <w:bottom w:val="none" w:sz="0" w:space="0" w:color="auto"/>
        <w:right w:val="none" w:sz="0" w:space="0" w:color="auto"/>
      </w:divBdr>
      <w:divsChild>
        <w:div w:id="1783644631">
          <w:marLeft w:val="0"/>
          <w:marRight w:val="0"/>
          <w:marTop w:val="0"/>
          <w:marBottom w:val="0"/>
          <w:divBdr>
            <w:top w:val="none" w:sz="0" w:space="0" w:color="auto"/>
            <w:left w:val="none" w:sz="0" w:space="0" w:color="auto"/>
            <w:bottom w:val="none" w:sz="0" w:space="0" w:color="auto"/>
            <w:right w:val="none" w:sz="0" w:space="0" w:color="auto"/>
          </w:divBdr>
          <w:divsChild>
            <w:div w:id="1783644634">
              <w:marLeft w:val="0"/>
              <w:marRight w:val="0"/>
              <w:marTop w:val="0"/>
              <w:marBottom w:val="0"/>
              <w:divBdr>
                <w:top w:val="none" w:sz="0" w:space="0" w:color="auto"/>
                <w:left w:val="none" w:sz="0" w:space="0" w:color="auto"/>
                <w:bottom w:val="none" w:sz="0" w:space="0" w:color="auto"/>
                <w:right w:val="none" w:sz="0" w:space="0" w:color="auto"/>
              </w:divBdr>
              <w:divsChild>
                <w:div w:id="1783644641">
                  <w:marLeft w:val="0"/>
                  <w:marRight w:val="0"/>
                  <w:marTop w:val="0"/>
                  <w:marBottom w:val="0"/>
                  <w:divBdr>
                    <w:top w:val="none" w:sz="0" w:space="0" w:color="auto"/>
                    <w:left w:val="none" w:sz="0" w:space="0" w:color="auto"/>
                    <w:bottom w:val="none" w:sz="0" w:space="0" w:color="auto"/>
                    <w:right w:val="none" w:sz="0" w:space="0" w:color="auto"/>
                  </w:divBdr>
                  <w:divsChild>
                    <w:div w:id="1783644640">
                      <w:marLeft w:val="0"/>
                      <w:marRight w:val="0"/>
                      <w:marTop w:val="0"/>
                      <w:marBottom w:val="0"/>
                      <w:divBdr>
                        <w:top w:val="none" w:sz="0" w:space="0" w:color="auto"/>
                        <w:left w:val="none" w:sz="0" w:space="0" w:color="auto"/>
                        <w:bottom w:val="none" w:sz="0" w:space="0" w:color="auto"/>
                        <w:right w:val="none" w:sz="0" w:space="0" w:color="auto"/>
                      </w:divBdr>
                      <w:divsChild>
                        <w:div w:id="17836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44629">
      <w:marLeft w:val="0"/>
      <w:marRight w:val="0"/>
      <w:marTop w:val="0"/>
      <w:marBottom w:val="0"/>
      <w:divBdr>
        <w:top w:val="none" w:sz="0" w:space="0" w:color="auto"/>
        <w:left w:val="none" w:sz="0" w:space="0" w:color="auto"/>
        <w:bottom w:val="none" w:sz="0" w:space="0" w:color="auto"/>
        <w:right w:val="none" w:sz="0" w:space="0" w:color="auto"/>
      </w:divBdr>
    </w:div>
    <w:div w:id="1783644632">
      <w:marLeft w:val="0"/>
      <w:marRight w:val="0"/>
      <w:marTop w:val="0"/>
      <w:marBottom w:val="0"/>
      <w:divBdr>
        <w:top w:val="none" w:sz="0" w:space="0" w:color="auto"/>
        <w:left w:val="none" w:sz="0" w:space="0" w:color="auto"/>
        <w:bottom w:val="none" w:sz="0" w:space="0" w:color="auto"/>
        <w:right w:val="none" w:sz="0" w:space="0" w:color="auto"/>
      </w:divBdr>
    </w:div>
    <w:div w:id="1783644635">
      <w:marLeft w:val="0"/>
      <w:marRight w:val="0"/>
      <w:marTop w:val="0"/>
      <w:marBottom w:val="0"/>
      <w:divBdr>
        <w:top w:val="none" w:sz="0" w:space="0" w:color="auto"/>
        <w:left w:val="none" w:sz="0" w:space="0" w:color="auto"/>
        <w:bottom w:val="none" w:sz="0" w:space="0" w:color="auto"/>
        <w:right w:val="none" w:sz="0" w:space="0" w:color="auto"/>
      </w:divBdr>
      <w:divsChild>
        <w:div w:id="1783644639">
          <w:marLeft w:val="0"/>
          <w:marRight w:val="0"/>
          <w:marTop w:val="0"/>
          <w:marBottom w:val="0"/>
          <w:divBdr>
            <w:top w:val="none" w:sz="0" w:space="0" w:color="auto"/>
            <w:left w:val="none" w:sz="0" w:space="0" w:color="auto"/>
            <w:bottom w:val="none" w:sz="0" w:space="0" w:color="auto"/>
            <w:right w:val="none" w:sz="0" w:space="0" w:color="auto"/>
          </w:divBdr>
          <w:divsChild>
            <w:div w:id="1783644637">
              <w:marLeft w:val="0"/>
              <w:marRight w:val="0"/>
              <w:marTop w:val="0"/>
              <w:marBottom w:val="0"/>
              <w:divBdr>
                <w:top w:val="none" w:sz="0" w:space="0" w:color="auto"/>
                <w:left w:val="none" w:sz="0" w:space="0" w:color="auto"/>
                <w:bottom w:val="none" w:sz="0" w:space="0" w:color="auto"/>
                <w:right w:val="none" w:sz="0" w:space="0" w:color="auto"/>
              </w:divBdr>
              <w:divsChild>
                <w:div w:id="1783644628">
                  <w:marLeft w:val="0"/>
                  <w:marRight w:val="0"/>
                  <w:marTop w:val="0"/>
                  <w:marBottom w:val="0"/>
                  <w:divBdr>
                    <w:top w:val="none" w:sz="0" w:space="0" w:color="auto"/>
                    <w:left w:val="none" w:sz="0" w:space="0" w:color="auto"/>
                    <w:bottom w:val="none" w:sz="0" w:space="0" w:color="auto"/>
                    <w:right w:val="none" w:sz="0" w:space="0" w:color="auto"/>
                  </w:divBdr>
                  <w:divsChild>
                    <w:div w:id="1783644627">
                      <w:marLeft w:val="0"/>
                      <w:marRight w:val="0"/>
                      <w:marTop w:val="0"/>
                      <w:marBottom w:val="0"/>
                      <w:divBdr>
                        <w:top w:val="none" w:sz="0" w:space="0" w:color="auto"/>
                        <w:left w:val="none" w:sz="0" w:space="0" w:color="auto"/>
                        <w:bottom w:val="none" w:sz="0" w:space="0" w:color="auto"/>
                        <w:right w:val="none" w:sz="0" w:space="0" w:color="auto"/>
                      </w:divBdr>
                      <w:divsChild>
                        <w:div w:id="1783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C7D2-DED4-41A2-AC59-A3351E265713}">
  <ds:schemaRef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75794b3d-7723-4ac3-9eb1-2555b2b4a12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3B1D9A2-726E-4647-A307-801B85526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08310-CCEA-4BB7-A3E5-48A6954CA4C3}">
  <ds:schemaRefs>
    <ds:schemaRef ds:uri="http://schemas.microsoft.com/sharepoint/v3/contenttype/forms"/>
  </ds:schemaRefs>
</ds:datastoreItem>
</file>

<file path=customXml/itemProps4.xml><?xml version="1.0" encoding="utf-8"?>
<ds:datastoreItem xmlns:ds="http://schemas.openxmlformats.org/officeDocument/2006/customXml" ds:itemID="{FF29332B-4CF0-4767-8D68-33E69166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2370</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Dignity at Work Procedure</vt:lpstr>
    </vt:vector>
  </TitlesOfParts>
  <Company>Stockport Council</Company>
  <LinksUpToDate>false</LinksUpToDate>
  <CharactersWithSpaces>15934</CharactersWithSpaces>
  <SharedDoc>false</SharedDoc>
  <HLinks>
    <vt:vector size="726" baseType="variant">
      <vt:variant>
        <vt:i4>2490471</vt:i4>
      </vt:variant>
      <vt:variant>
        <vt:i4>666</vt:i4>
      </vt:variant>
      <vt:variant>
        <vt:i4>0</vt:i4>
      </vt:variant>
      <vt:variant>
        <vt:i4>5</vt:i4>
      </vt:variant>
      <vt:variant>
        <vt:lpwstr>https://www.gov.uk/paternity-pay-leave/how-to-claim</vt:lpwstr>
      </vt:variant>
      <vt:variant>
        <vt:lpwstr/>
      </vt:variant>
      <vt:variant>
        <vt:i4>3145824</vt:i4>
      </vt:variant>
      <vt:variant>
        <vt:i4>663</vt:i4>
      </vt:variant>
      <vt:variant>
        <vt:i4>0</vt:i4>
      </vt:variant>
      <vt:variant>
        <vt:i4>5</vt:i4>
      </vt:variant>
      <vt:variant>
        <vt:lpwstr>https://www.gov.uk/adoption-pay-leave/overview</vt:lpwstr>
      </vt:variant>
      <vt:variant>
        <vt:lpwstr/>
      </vt:variant>
      <vt:variant>
        <vt:i4>7340085</vt:i4>
      </vt:variant>
      <vt:variant>
        <vt:i4>660</vt:i4>
      </vt:variant>
      <vt:variant>
        <vt:i4>0</vt:i4>
      </vt:variant>
      <vt:variant>
        <vt:i4>5</vt:i4>
      </vt:variant>
      <vt:variant>
        <vt:lpwstr>https://www.gov.uk/paternity-pay-leave/adoption</vt:lpwstr>
      </vt:variant>
      <vt:variant>
        <vt:lpwstr/>
      </vt:variant>
      <vt:variant>
        <vt:i4>3145824</vt:i4>
      </vt:variant>
      <vt:variant>
        <vt:i4>657</vt:i4>
      </vt:variant>
      <vt:variant>
        <vt:i4>0</vt:i4>
      </vt:variant>
      <vt:variant>
        <vt:i4>5</vt:i4>
      </vt:variant>
      <vt:variant>
        <vt:lpwstr>https://www.gov.uk/adoption-pay-leave/overview</vt:lpwstr>
      </vt:variant>
      <vt:variant>
        <vt:lpwstr/>
      </vt:variant>
      <vt:variant>
        <vt:i4>2490471</vt:i4>
      </vt:variant>
      <vt:variant>
        <vt:i4>654</vt:i4>
      </vt:variant>
      <vt:variant>
        <vt:i4>0</vt:i4>
      </vt:variant>
      <vt:variant>
        <vt:i4>5</vt:i4>
      </vt:variant>
      <vt:variant>
        <vt:lpwstr>https://www.gov.uk/paternity-pay-leave/how-to-claim</vt:lpwstr>
      </vt:variant>
      <vt:variant>
        <vt:lpwstr/>
      </vt:variant>
      <vt:variant>
        <vt:i4>3932280</vt:i4>
      </vt:variant>
      <vt:variant>
        <vt:i4>651</vt:i4>
      </vt:variant>
      <vt:variant>
        <vt:i4>0</vt:i4>
      </vt:variant>
      <vt:variant>
        <vt:i4>5</vt:i4>
      </vt:variant>
      <vt:variant>
        <vt:lpwstr>http://knowledgebase.stockport.gov.uk/humanresources/217145/217149/298069/summaryofparentingpayandleavearrangements</vt:lpwstr>
      </vt:variant>
      <vt:variant>
        <vt:lpwstr/>
      </vt:variant>
      <vt:variant>
        <vt:i4>7471211</vt:i4>
      </vt:variant>
      <vt:variant>
        <vt:i4>648</vt:i4>
      </vt:variant>
      <vt:variant>
        <vt:i4>0</vt:i4>
      </vt:variant>
      <vt:variant>
        <vt:i4>5</vt:i4>
      </vt:variant>
      <vt:variant>
        <vt:lpwstr>https://www.gov.uk/become-a-childs-legal-parent</vt:lpwstr>
      </vt:variant>
      <vt:variant>
        <vt:lpwstr/>
      </vt:variant>
      <vt:variant>
        <vt:i4>1310784</vt:i4>
      </vt:variant>
      <vt:variant>
        <vt:i4>645</vt:i4>
      </vt:variant>
      <vt:variant>
        <vt:i4>0</vt:i4>
      </vt:variant>
      <vt:variant>
        <vt:i4>5</vt:i4>
      </vt:variant>
      <vt:variant>
        <vt:lpwstr>https://www.gov.uk/employers-maternity-pay-leave</vt:lpwstr>
      </vt:variant>
      <vt:variant>
        <vt:lpwstr/>
      </vt:variant>
      <vt:variant>
        <vt:i4>1310784</vt:i4>
      </vt:variant>
      <vt:variant>
        <vt:i4>642</vt:i4>
      </vt:variant>
      <vt:variant>
        <vt:i4>0</vt:i4>
      </vt:variant>
      <vt:variant>
        <vt:i4>5</vt:i4>
      </vt:variant>
      <vt:variant>
        <vt:lpwstr>https://www.gov.uk/employers-maternity-pay-leave</vt:lpwstr>
      </vt:variant>
      <vt:variant>
        <vt:lpwstr/>
      </vt:variant>
      <vt:variant>
        <vt:i4>6815802</vt:i4>
      </vt:variant>
      <vt:variant>
        <vt:i4>639</vt:i4>
      </vt:variant>
      <vt:variant>
        <vt:i4>0</vt:i4>
      </vt:variant>
      <vt:variant>
        <vt:i4>5</vt:i4>
      </vt:variant>
      <vt:variant>
        <vt:lpwstr>https://www.gov.uk/adoption-pay-leave/how-to-claim</vt:lpwstr>
      </vt:variant>
      <vt:variant>
        <vt:lpwstr/>
      </vt:variant>
      <vt:variant>
        <vt:i4>6815802</vt:i4>
      </vt:variant>
      <vt:variant>
        <vt:i4>636</vt:i4>
      </vt:variant>
      <vt:variant>
        <vt:i4>0</vt:i4>
      </vt:variant>
      <vt:variant>
        <vt:i4>5</vt:i4>
      </vt:variant>
      <vt:variant>
        <vt:lpwstr>https://www.gov.uk/adoption-pay-leave/how-to-claim</vt:lpwstr>
      </vt:variant>
      <vt:variant>
        <vt:lpwstr/>
      </vt:variant>
      <vt:variant>
        <vt:i4>4194377</vt:i4>
      </vt:variant>
      <vt:variant>
        <vt:i4>633</vt:i4>
      </vt:variant>
      <vt:variant>
        <vt:i4>0</vt:i4>
      </vt:variant>
      <vt:variant>
        <vt:i4>5</vt:i4>
      </vt:variant>
      <vt:variant>
        <vt:lpwstr>https://www.gov.uk/shared-parental-leave-and-pay</vt:lpwstr>
      </vt:variant>
      <vt:variant>
        <vt:lpwstr/>
      </vt:variant>
      <vt:variant>
        <vt:i4>7471211</vt:i4>
      </vt:variant>
      <vt:variant>
        <vt:i4>630</vt:i4>
      </vt:variant>
      <vt:variant>
        <vt:i4>0</vt:i4>
      </vt:variant>
      <vt:variant>
        <vt:i4>5</vt:i4>
      </vt:variant>
      <vt:variant>
        <vt:lpwstr>https://www.gov.uk/become-a-childs-legal-parent</vt:lpwstr>
      </vt:variant>
      <vt:variant>
        <vt:lpwstr/>
      </vt:variant>
      <vt:variant>
        <vt:i4>7077929</vt:i4>
      </vt:variant>
      <vt:variant>
        <vt:i4>627</vt:i4>
      </vt:variant>
      <vt:variant>
        <vt:i4>0</vt:i4>
      </vt:variant>
      <vt:variant>
        <vt:i4>5</vt:i4>
      </vt:variant>
      <vt:variant>
        <vt:lpwstr>https://www.gov.uk/paternity-pay-leave/pay</vt:lpwstr>
      </vt:variant>
      <vt:variant>
        <vt:lpwstr/>
      </vt:variant>
      <vt:variant>
        <vt:i4>2490476</vt:i4>
      </vt:variant>
      <vt:variant>
        <vt:i4>624</vt:i4>
      </vt:variant>
      <vt:variant>
        <vt:i4>0</vt:i4>
      </vt:variant>
      <vt:variant>
        <vt:i4>5</vt:i4>
      </vt:variant>
      <vt:variant>
        <vt:lpwstr>http://www.teacherspensions.co.uk/</vt:lpwstr>
      </vt:variant>
      <vt:variant>
        <vt:lpwstr/>
      </vt:variant>
      <vt:variant>
        <vt:i4>393300</vt:i4>
      </vt:variant>
      <vt:variant>
        <vt:i4>621</vt:i4>
      </vt:variant>
      <vt:variant>
        <vt:i4>0</vt:i4>
      </vt:variant>
      <vt:variant>
        <vt:i4>5</vt:i4>
      </vt:variant>
      <vt:variant>
        <vt:lpwstr>http://www.dwp.gov.uk/advisers/claimforms/ma1.pdf</vt:lpwstr>
      </vt:variant>
      <vt:variant>
        <vt:lpwstr/>
      </vt:variant>
      <vt:variant>
        <vt:i4>1310784</vt:i4>
      </vt:variant>
      <vt:variant>
        <vt:i4>618</vt:i4>
      </vt:variant>
      <vt:variant>
        <vt:i4>0</vt:i4>
      </vt:variant>
      <vt:variant>
        <vt:i4>5</vt:i4>
      </vt:variant>
      <vt:variant>
        <vt:lpwstr>https://www.gov.uk/employers-maternity-pay-leave</vt:lpwstr>
      </vt:variant>
      <vt:variant>
        <vt:lpwstr/>
      </vt:variant>
      <vt:variant>
        <vt:i4>1310784</vt:i4>
      </vt:variant>
      <vt:variant>
        <vt:i4>615</vt:i4>
      </vt:variant>
      <vt:variant>
        <vt:i4>0</vt:i4>
      </vt:variant>
      <vt:variant>
        <vt:i4>5</vt:i4>
      </vt:variant>
      <vt:variant>
        <vt:lpwstr>https://www.gov.uk/employers-maternity-pay-leave</vt:lpwstr>
      </vt:variant>
      <vt:variant>
        <vt:lpwstr/>
      </vt:variant>
      <vt:variant>
        <vt:i4>3932280</vt:i4>
      </vt:variant>
      <vt:variant>
        <vt:i4>612</vt:i4>
      </vt:variant>
      <vt:variant>
        <vt:i4>0</vt:i4>
      </vt:variant>
      <vt:variant>
        <vt:i4>5</vt:i4>
      </vt:variant>
      <vt:variant>
        <vt:lpwstr>http://knowledgebase.stockport.gov.uk/humanresources/217145/217149/298069/summaryofparentingpayandleavearrangements</vt:lpwstr>
      </vt:variant>
      <vt:variant>
        <vt:lpwstr/>
      </vt:variant>
      <vt:variant>
        <vt:i4>5636102</vt:i4>
      </vt:variant>
      <vt:variant>
        <vt:i4>609</vt:i4>
      </vt:variant>
      <vt:variant>
        <vt:i4>0</vt:i4>
      </vt:variant>
      <vt:variant>
        <vt:i4>5</vt:i4>
      </vt:variant>
      <vt:variant>
        <vt:lpwstr>http://knowledgebase.stockport.gov.uk/humanresources/217145/217149/298069/notificationforparentingleaveandpay</vt:lpwstr>
      </vt:variant>
      <vt:variant>
        <vt:lpwstr/>
      </vt:variant>
      <vt:variant>
        <vt:i4>1900604</vt:i4>
      </vt:variant>
      <vt:variant>
        <vt:i4>602</vt:i4>
      </vt:variant>
      <vt:variant>
        <vt:i4>0</vt:i4>
      </vt:variant>
      <vt:variant>
        <vt:i4>5</vt:i4>
      </vt:variant>
      <vt:variant>
        <vt:lpwstr/>
      </vt:variant>
      <vt:variant>
        <vt:lpwstr>_Toc439318020</vt:lpwstr>
      </vt:variant>
      <vt:variant>
        <vt:i4>1966140</vt:i4>
      </vt:variant>
      <vt:variant>
        <vt:i4>596</vt:i4>
      </vt:variant>
      <vt:variant>
        <vt:i4>0</vt:i4>
      </vt:variant>
      <vt:variant>
        <vt:i4>5</vt:i4>
      </vt:variant>
      <vt:variant>
        <vt:lpwstr/>
      </vt:variant>
      <vt:variant>
        <vt:lpwstr>_Toc439318019</vt:lpwstr>
      </vt:variant>
      <vt:variant>
        <vt:i4>1966140</vt:i4>
      </vt:variant>
      <vt:variant>
        <vt:i4>590</vt:i4>
      </vt:variant>
      <vt:variant>
        <vt:i4>0</vt:i4>
      </vt:variant>
      <vt:variant>
        <vt:i4>5</vt:i4>
      </vt:variant>
      <vt:variant>
        <vt:lpwstr/>
      </vt:variant>
      <vt:variant>
        <vt:lpwstr>_Toc439318017</vt:lpwstr>
      </vt:variant>
      <vt:variant>
        <vt:i4>1966140</vt:i4>
      </vt:variant>
      <vt:variant>
        <vt:i4>584</vt:i4>
      </vt:variant>
      <vt:variant>
        <vt:i4>0</vt:i4>
      </vt:variant>
      <vt:variant>
        <vt:i4>5</vt:i4>
      </vt:variant>
      <vt:variant>
        <vt:lpwstr/>
      </vt:variant>
      <vt:variant>
        <vt:lpwstr>_Toc439318016</vt:lpwstr>
      </vt:variant>
      <vt:variant>
        <vt:i4>1966140</vt:i4>
      </vt:variant>
      <vt:variant>
        <vt:i4>578</vt:i4>
      </vt:variant>
      <vt:variant>
        <vt:i4>0</vt:i4>
      </vt:variant>
      <vt:variant>
        <vt:i4>5</vt:i4>
      </vt:variant>
      <vt:variant>
        <vt:lpwstr/>
      </vt:variant>
      <vt:variant>
        <vt:lpwstr>_Toc439318015</vt:lpwstr>
      </vt:variant>
      <vt:variant>
        <vt:i4>1966140</vt:i4>
      </vt:variant>
      <vt:variant>
        <vt:i4>572</vt:i4>
      </vt:variant>
      <vt:variant>
        <vt:i4>0</vt:i4>
      </vt:variant>
      <vt:variant>
        <vt:i4>5</vt:i4>
      </vt:variant>
      <vt:variant>
        <vt:lpwstr/>
      </vt:variant>
      <vt:variant>
        <vt:lpwstr>_Toc439318014</vt:lpwstr>
      </vt:variant>
      <vt:variant>
        <vt:i4>1966140</vt:i4>
      </vt:variant>
      <vt:variant>
        <vt:i4>566</vt:i4>
      </vt:variant>
      <vt:variant>
        <vt:i4>0</vt:i4>
      </vt:variant>
      <vt:variant>
        <vt:i4>5</vt:i4>
      </vt:variant>
      <vt:variant>
        <vt:lpwstr/>
      </vt:variant>
      <vt:variant>
        <vt:lpwstr>_Toc439318013</vt:lpwstr>
      </vt:variant>
      <vt:variant>
        <vt:i4>1966140</vt:i4>
      </vt:variant>
      <vt:variant>
        <vt:i4>560</vt:i4>
      </vt:variant>
      <vt:variant>
        <vt:i4>0</vt:i4>
      </vt:variant>
      <vt:variant>
        <vt:i4>5</vt:i4>
      </vt:variant>
      <vt:variant>
        <vt:lpwstr/>
      </vt:variant>
      <vt:variant>
        <vt:lpwstr>_Toc439318012</vt:lpwstr>
      </vt:variant>
      <vt:variant>
        <vt:i4>1966140</vt:i4>
      </vt:variant>
      <vt:variant>
        <vt:i4>554</vt:i4>
      </vt:variant>
      <vt:variant>
        <vt:i4>0</vt:i4>
      </vt:variant>
      <vt:variant>
        <vt:i4>5</vt:i4>
      </vt:variant>
      <vt:variant>
        <vt:lpwstr/>
      </vt:variant>
      <vt:variant>
        <vt:lpwstr>_Toc439318011</vt:lpwstr>
      </vt:variant>
      <vt:variant>
        <vt:i4>1966140</vt:i4>
      </vt:variant>
      <vt:variant>
        <vt:i4>548</vt:i4>
      </vt:variant>
      <vt:variant>
        <vt:i4>0</vt:i4>
      </vt:variant>
      <vt:variant>
        <vt:i4>5</vt:i4>
      </vt:variant>
      <vt:variant>
        <vt:lpwstr/>
      </vt:variant>
      <vt:variant>
        <vt:lpwstr>_Toc439318010</vt:lpwstr>
      </vt:variant>
      <vt:variant>
        <vt:i4>2031676</vt:i4>
      </vt:variant>
      <vt:variant>
        <vt:i4>542</vt:i4>
      </vt:variant>
      <vt:variant>
        <vt:i4>0</vt:i4>
      </vt:variant>
      <vt:variant>
        <vt:i4>5</vt:i4>
      </vt:variant>
      <vt:variant>
        <vt:lpwstr/>
      </vt:variant>
      <vt:variant>
        <vt:lpwstr>_Toc439318009</vt:lpwstr>
      </vt:variant>
      <vt:variant>
        <vt:i4>2031676</vt:i4>
      </vt:variant>
      <vt:variant>
        <vt:i4>536</vt:i4>
      </vt:variant>
      <vt:variant>
        <vt:i4>0</vt:i4>
      </vt:variant>
      <vt:variant>
        <vt:i4>5</vt:i4>
      </vt:variant>
      <vt:variant>
        <vt:lpwstr/>
      </vt:variant>
      <vt:variant>
        <vt:lpwstr>_Toc439318008</vt:lpwstr>
      </vt:variant>
      <vt:variant>
        <vt:i4>2031676</vt:i4>
      </vt:variant>
      <vt:variant>
        <vt:i4>530</vt:i4>
      </vt:variant>
      <vt:variant>
        <vt:i4>0</vt:i4>
      </vt:variant>
      <vt:variant>
        <vt:i4>5</vt:i4>
      </vt:variant>
      <vt:variant>
        <vt:lpwstr/>
      </vt:variant>
      <vt:variant>
        <vt:lpwstr>_Toc439318007</vt:lpwstr>
      </vt:variant>
      <vt:variant>
        <vt:i4>2031676</vt:i4>
      </vt:variant>
      <vt:variant>
        <vt:i4>524</vt:i4>
      </vt:variant>
      <vt:variant>
        <vt:i4>0</vt:i4>
      </vt:variant>
      <vt:variant>
        <vt:i4>5</vt:i4>
      </vt:variant>
      <vt:variant>
        <vt:lpwstr/>
      </vt:variant>
      <vt:variant>
        <vt:lpwstr>_Toc439318006</vt:lpwstr>
      </vt:variant>
      <vt:variant>
        <vt:i4>2031676</vt:i4>
      </vt:variant>
      <vt:variant>
        <vt:i4>518</vt:i4>
      </vt:variant>
      <vt:variant>
        <vt:i4>0</vt:i4>
      </vt:variant>
      <vt:variant>
        <vt:i4>5</vt:i4>
      </vt:variant>
      <vt:variant>
        <vt:lpwstr/>
      </vt:variant>
      <vt:variant>
        <vt:lpwstr>_Toc439318005</vt:lpwstr>
      </vt:variant>
      <vt:variant>
        <vt:i4>2031676</vt:i4>
      </vt:variant>
      <vt:variant>
        <vt:i4>512</vt:i4>
      </vt:variant>
      <vt:variant>
        <vt:i4>0</vt:i4>
      </vt:variant>
      <vt:variant>
        <vt:i4>5</vt:i4>
      </vt:variant>
      <vt:variant>
        <vt:lpwstr/>
      </vt:variant>
      <vt:variant>
        <vt:lpwstr>_Toc439318004</vt:lpwstr>
      </vt:variant>
      <vt:variant>
        <vt:i4>2031676</vt:i4>
      </vt:variant>
      <vt:variant>
        <vt:i4>506</vt:i4>
      </vt:variant>
      <vt:variant>
        <vt:i4>0</vt:i4>
      </vt:variant>
      <vt:variant>
        <vt:i4>5</vt:i4>
      </vt:variant>
      <vt:variant>
        <vt:lpwstr/>
      </vt:variant>
      <vt:variant>
        <vt:lpwstr>_Toc439318003</vt:lpwstr>
      </vt:variant>
      <vt:variant>
        <vt:i4>2031676</vt:i4>
      </vt:variant>
      <vt:variant>
        <vt:i4>500</vt:i4>
      </vt:variant>
      <vt:variant>
        <vt:i4>0</vt:i4>
      </vt:variant>
      <vt:variant>
        <vt:i4>5</vt:i4>
      </vt:variant>
      <vt:variant>
        <vt:lpwstr/>
      </vt:variant>
      <vt:variant>
        <vt:lpwstr>_Toc439318002</vt:lpwstr>
      </vt:variant>
      <vt:variant>
        <vt:i4>2031676</vt:i4>
      </vt:variant>
      <vt:variant>
        <vt:i4>494</vt:i4>
      </vt:variant>
      <vt:variant>
        <vt:i4>0</vt:i4>
      </vt:variant>
      <vt:variant>
        <vt:i4>5</vt:i4>
      </vt:variant>
      <vt:variant>
        <vt:lpwstr/>
      </vt:variant>
      <vt:variant>
        <vt:lpwstr>_Toc439318001</vt:lpwstr>
      </vt:variant>
      <vt:variant>
        <vt:i4>2031676</vt:i4>
      </vt:variant>
      <vt:variant>
        <vt:i4>488</vt:i4>
      </vt:variant>
      <vt:variant>
        <vt:i4>0</vt:i4>
      </vt:variant>
      <vt:variant>
        <vt:i4>5</vt:i4>
      </vt:variant>
      <vt:variant>
        <vt:lpwstr/>
      </vt:variant>
      <vt:variant>
        <vt:lpwstr>_Toc439318000</vt:lpwstr>
      </vt:variant>
      <vt:variant>
        <vt:i4>1638453</vt:i4>
      </vt:variant>
      <vt:variant>
        <vt:i4>482</vt:i4>
      </vt:variant>
      <vt:variant>
        <vt:i4>0</vt:i4>
      </vt:variant>
      <vt:variant>
        <vt:i4>5</vt:i4>
      </vt:variant>
      <vt:variant>
        <vt:lpwstr/>
      </vt:variant>
      <vt:variant>
        <vt:lpwstr>_Toc439317999</vt:lpwstr>
      </vt:variant>
      <vt:variant>
        <vt:i4>1638453</vt:i4>
      </vt:variant>
      <vt:variant>
        <vt:i4>476</vt:i4>
      </vt:variant>
      <vt:variant>
        <vt:i4>0</vt:i4>
      </vt:variant>
      <vt:variant>
        <vt:i4>5</vt:i4>
      </vt:variant>
      <vt:variant>
        <vt:lpwstr/>
      </vt:variant>
      <vt:variant>
        <vt:lpwstr>_Toc439317998</vt:lpwstr>
      </vt:variant>
      <vt:variant>
        <vt:i4>1638453</vt:i4>
      </vt:variant>
      <vt:variant>
        <vt:i4>470</vt:i4>
      </vt:variant>
      <vt:variant>
        <vt:i4>0</vt:i4>
      </vt:variant>
      <vt:variant>
        <vt:i4>5</vt:i4>
      </vt:variant>
      <vt:variant>
        <vt:lpwstr/>
      </vt:variant>
      <vt:variant>
        <vt:lpwstr>_Toc439317997</vt:lpwstr>
      </vt:variant>
      <vt:variant>
        <vt:i4>1638453</vt:i4>
      </vt:variant>
      <vt:variant>
        <vt:i4>464</vt:i4>
      </vt:variant>
      <vt:variant>
        <vt:i4>0</vt:i4>
      </vt:variant>
      <vt:variant>
        <vt:i4>5</vt:i4>
      </vt:variant>
      <vt:variant>
        <vt:lpwstr/>
      </vt:variant>
      <vt:variant>
        <vt:lpwstr>_Toc439317996</vt:lpwstr>
      </vt:variant>
      <vt:variant>
        <vt:i4>1638453</vt:i4>
      </vt:variant>
      <vt:variant>
        <vt:i4>458</vt:i4>
      </vt:variant>
      <vt:variant>
        <vt:i4>0</vt:i4>
      </vt:variant>
      <vt:variant>
        <vt:i4>5</vt:i4>
      </vt:variant>
      <vt:variant>
        <vt:lpwstr/>
      </vt:variant>
      <vt:variant>
        <vt:lpwstr>_Toc439317995</vt:lpwstr>
      </vt:variant>
      <vt:variant>
        <vt:i4>1638453</vt:i4>
      </vt:variant>
      <vt:variant>
        <vt:i4>452</vt:i4>
      </vt:variant>
      <vt:variant>
        <vt:i4>0</vt:i4>
      </vt:variant>
      <vt:variant>
        <vt:i4>5</vt:i4>
      </vt:variant>
      <vt:variant>
        <vt:lpwstr/>
      </vt:variant>
      <vt:variant>
        <vt:lpwstr>_Toc439317994</vt:lpwstr>
      </vt:variant>
      <vt:variant>
        <vt:i4>1638453</vt:i4>
      </vt:variant>
      <vt:variant>
        <vt:i4>446</vt:i4>
      </vt:variant>
      <vt:variant>
        <vt:i4>0</vt:i4>
      </vt:variant>
      <vt:variant>
        <vt:i4>5</vt:i4>
      </vt:variant>
      <vt:variant>
        <vt:lpwstr/>
      </vt:variant>
      <vt:variant>
        <vt:lpwstr>_Toc439317993</vt:lpwstr>
      </vt:variant>
      <vt:variant>
        <vt:i4>1638453</vt:i4>
      </vt:variant>
      <vt:variant>
        <vt:i4>440</vt:i4>
      </vt:variant>
      <vt:variant>
        <vt:i4>0</vt:i4>
      </vt:variant>
      <vt:variant>
        <vt:i4>5</vt:i4>
      </vt:variant>
      <vt:variant>
        <vt:lpwstr/>
      </vt:variant>
      <vt:variant>
        <vt:lpwstr>_Toc439317992</vt:lpwstr>
      </vt:variant>
      <vt:variant>
        <vt:i4>1638453</vt:i4>
      </vt:variant>
      <vt:variant>
        <vt:i4>434</vt:i4>
      </vt:variant>
      <vt:variant>
        <vt:i4>0</vt:i4>
      </vt:variant>
      <vt:variant>
        <vt:i4>5</vt:i4>
      </vt:variant>
      <vt:variant>
        <vt:lpwstr/>
      </vt:variant>
      <vt:variant>
        <vt:lpwstr>_Toc439317991</vt:lpwstr>
      </vt:variant>
      <vt:variant>
        <vt:i4>1638453</vt:i4>
      </vt:variant>
      <vt:variant>
        <vt:i4>428</vt:i4>
      </vt:variant>
      <vt:variant>
        <vt:i4>0</vt:i4>
      </vt:variant>
      <vt:variant>
        <vt:i4>5</vt:i4>
      </vt:variant>
      <vt:variant>
        <vt:lpwstr/>
      </vt:variant>
      <vt:variant>
        <vt:lpwstr>_Toc439317990</vt:lpwstr>
      </vt:variant>
      <vt:variant>
        <vt:i4>1572917</vt:i4>
      </vt:variant>
      <vt:variant>
        <vt:i4>422</vt:i4>
      </vt:variant>
      <vt:variant>
        <vt:i4>0</vt:i4>
      </vt:variant>
      <vt:variant>
        <vt:i4>5</vt:i4>
      </vt:variant>
      <vt:variant>
        <vt:lpwstr/>
      </vt:variant>
      <vt:variant>
        <vt:lpwstr>_Toc439317989</vt:lpwstr>
      </vt:variant>
      <vt:variant>
        <vt:i4>1572917</vt:i4>
      </vt:variant>
      <vt:variant>
        <vt:i4>416</vt:i4>
      </vt:variant>
      <vt:variant>
        <vt:i4>0</vt:i4>
      </vt:variant>
      <vt:variant>
        <vt:i4>5</vt:i4>
      </vt:variant>
      <vt:variant>
        <vt:lpwstr/>
      </vt:variant>
      <vt:variant>
        <vt:lpwstr>_Toc439317988</vt:lpwstr>
      </vt:variant>
      <vt:variant>
        <vt:i4>1572917</vt:i4>
      </vt:variant>
      <vt:variant>
        <vt:i4>410</vt:i4>
      </vt:variant>
      <vt:variant>
        <vt:i4>0</vt:i4>
      </vt:variant>
      <vt:variant>
        <vt:i4>5</vt:i4>
      </vt:variant>
      <vt:variant>
        <vt:lpwstr/>
      </vt:variant>
      <vt:variant>
        <vt:lpwstr>_Toc439317987</vt:lpwstr>
      </vt:variant>
      <vt:variant>
        <vt:i4>1572917</vt:i4>
      </vt:variant>
      <vt:variant>
        <vt:i4>404</vt:i4>
      </vt:variant>
      <vt:variant>
        <vt:i4>0</vt:i4>
      </vt:variant>
      <vt:variant>
        <vt:i4>5</vt:i4>
      </vt:variant>
      <vt:variant>
        <vt:lpwstr/>
      </vt:variant>
      <vt:variant>
        <vt:lpwstr>_Toc439317986</vt:lpwstr>
      </vt:variant>
      <vt:variant>
        <vt:i4>1572917</vt:i4>
      </vt:variant>
      <vt:variant>
        <vt:i4>398</vt:i4>
      </vt:variant>
      <vt:variant>
        <vt:i4>0</vt:i4>
      </vt:variant>
      <vt:variant>
        <vt:i4>5</vt:i4>
      </vt:variant>
      <vt:variant>
        <vt:lpwstr/>
      </vt:variant>
      <vt:variant>
        <vt:lpwstr>_Toc439317985</vt:lpwstr>
      </vt:variant>
      <vt:variant>
        <vt:i4>1572917</vt:i4>
      </vt:variant>
      <vt:variant>
        <vt:i4>392</vt:i4>
      </vt:variant>
      <vt:variant>
        <vt:i4>0</vt:i4>
      </vt:variant>
      <vt:variant>
        <vt:i4>5</vt:i4>
      </vt:variant>
      <vt:variant>
        <vt:lpwstr/>
      </vt:variant>
      <vt:variant>
        <vt:lpwstr>_Toc439317984</vt:lpwstr>
      </vt:variant>
      <vt:variant>
        <vt:i4>1572917</vt:i4>
      </vt:variant>
      <vt:variant>
        <vt:i4>386</vt:i4>
      </vt:variant>
      <vt:variant>
        <vt:i4>0</vt:i4>
      </vt:variant>
      <vt:variant>
        <vt:i4>5</vt:i4>
      </vt:variant>
      <vt:variant>
        <vt:lpwstr/>
      </vt:variant>
      <vt:variant>
        <vt:lpwstr>_Toc439317983</vt:lpwstr>
      </vt:variant>
      <vt:variant>
        <vt:i4>1572917</vt:i4>
      </vt:variant>
      <vt:variant>
        <vt:i4>380</vt:i4>
      </vt:variant>
      <vt:variant>
        <vt:i4>0</vt:i4>
      </vt:variant>
      <vt:variant>
        <vt:i4>5</vt:i4>
      </vt:variant>
      <vt:variant>
        <vt:lpwstr/>
      </vt:variant>
      <vt:variant>
        <vt:lpwstr>_Toc439317982</vt:lpwstr>
      </vt:variant>
      <vt:variant>
        <vt:i4>1572917</vt:i4>
      </vt:variant>
      <vt:variant>
        <vt:i4>374</vt:i4>
      </vt:variant>
      <vt:variant>
        <vt:i4>0</vt:i4>
      </vt:variant>
      <vt:variant>
        <vt:i4>5</vt:i4>
      </vt:variant>
      <vt:variant>
        <vt:lpwstr/>
      </vt:variant>
      <vt:variant>
        <vt:lpwstr>_Toc439317981</vt:lpwstr>
      </vt:variant>
      <vt:variant>
        <vt:i4>1572917</vt:i4>
      </vt:variant>
      <vt:variant>
        <vt:i4>368</vt:i4>
      </vt:variant>
      <vt:variant>
        <vt:i4>0</vt:i4>
      </vt:variant>
      <vt:variant>
        <vt:i4>5</vt:i4>
      </vt:variant>
      <vt:variant>
        <vt:lpwstr/>
      </vt:variant>
      <vt:variant>
        <vt:lpwstr>_Toc439317980</vt:lpwstr>
      </vt:variant>
      <vt:variant>
        <vt:i4>1507381</vt:i4>
      </vt:variant>
      <vt:variant>
        <vt:i4>362</vt:i4>
      </vt:variant>
      <vt:variant>
        <vt:i4>0</vt:i4>
      </vt:variant>
      <vt:variant>
        <vt:i4>5</vt:i4>
      </vt:variant>
      <vt:variant>
        <vt:lpwstr/>
      </vt:variant>
      <vt:variant>
        <vt:lpwstr>_Toc439317979</vt:lpwstr>
      </vt:variant>
      <vt:variant>
        <vt:i4>1507381</vt:i4>
      </vt:variant>
      <vt:variant>
        <vt:i4>356</vt:i4>
      </vt:variant>
      <vt:variant>
        <vt:i4>0</vt:i4>
      </vt:variant>
      <vt:variant>
        <vt:i4>5</vt:i4>
      </vt:variant>
      <vt:variant>
        <vt:lpwstr/>
      </vt:variant>
      <vt:variant>
        <vt:lpwstr>_Toc439317978</vt:lpwstr>
      </vt:variant>
      <vt:variant>
        <vt:i4>1507381</vt:i4>
      </vt:variant>
      <vt:variant>
        <vt:i4>350</vt:i4>
      </vt:variant>
      <vt:variant>
        <vt:i4>0</vt:i4>
      </vt:variant>
      <vt:variant>
        <vt:i4>5</vt:i4>
      </vt:variant>
      <vt:variant>
        <vt:lpwstr/>
      </vt:variant>
      <vt:variant>
        <vt:lpwstr>_Toc439317977</vt:lpwstr>
      </vt:variant>
      <vt:variant>
        <vt:i4>1507381</vt:i4>
      </vt:variant>
      <vt:variant>
        <vt:i4>344</vt:i4>
      </vt:variant>
      <vt:variant>
        <vt:i4>0</vt:i4>
      </vt:variant>
      <vt:variant>
        <vt:i4>5</vt:i4>
      </vt:variant>
      <vt:variant>
        <vt:lpwstr/>
      </vt:variant>
      <vt:variant>
        <vt:lpwstr>_Toc439317976</vt:lpwstr>
      </vt:variant>
      <vt:variant>
        <vt:i4>1507381</vt:i4>
      </vt:variant>
      <vt:variant>
        <vt:i4>338</vt:i4>
      </vt:variant>
      <vt:variant>
        <vt:i4>0</vt:i4>
      </vt:variant>
      <vt:variant>
        <vt:i4>5</vt:i4>
      </vt:variant>
      <vt:variant>
        <vt:lpwstr/>
      </vt:variant>
      <vt:variant>
        <vt:lpwstr>_Toc439317975</vt:lpwstr>
      </vt:variant>
      <vt:variant>
        <vt:i4>1507381</vt:i4>
      </vt:variant>
      <vt:variant>
        <vt:i4>332</vt:i4>
      </vt:variant>
      <vt:variant>
        <vt:i4>0</vt:i4>
      </vt:variant>
      <vt:variant>
        <vt:i4>5</vt:i4>
      </vt:variant>
      <vt:variant>
        <vt:lpwstr/>
      </vt:variant>
      <vt:variant>
        <vt:lpwstr>_Toc439317974</vt:lpwstr>
      </vt:variant>
      <vt:variant>
        <vt:i4>1507381</vt:i4>
      </vt:variant>
      <vt:variant>
        <vt:i4>326</vt:i4>
      </vt:variant>
      <vt:variant>
        <vt:i4>0</vt:i4>
      </vt:variant>
      <vt:variant>
        <vt:i4>5</vt:i4>
      </vt:variant>
      <vt:variant>
        <vt:lpwstr/>
      </vt:variant>
      <vt:variant>
        <vt:lpwstr>_Toc439317973</vt:lpwstr>
      </vt:variant>
      <vt:variant>
        <vt:i4>1507381</vt:i4>
      </vt:variant>
      <vt:variant>
        <vt:i4>320</vt:i4>
      </vt:variant>
      <vt:variant>
        <vt:i4>0</vt:i4>
      </vt:variant>
      <vt:variant>
        <vt:i4>5</vt:i4>
      </vt:variant>
      <vt:variant>
        <vt:lpwstr/>
      </vt:variant>
      <vt:variant>
        <vt:lpwstr>_Toc439317972</vt:lpwstr>
      </vt:variant>
      <vt:variant>
        <vt:i4>1507381</vt:i4>
      </vt:variant>
      <vt:variant>
        <vt:i4>314</vt:i4>
      </vt:variant>
      <vt:variant>
        <vt:i4>0</vt:i4>
      </vt:variant>
      <vt:variant>
        <vt:i4>5</vt:i4>
      </vt:variant>
      <vt:variant>
        <vt:lpwstr/>
      </vt:variant>
      <vt:variant>
        <vt:lpwstr>_Toc439317971</vt:lpwstr>
      </vt:variant>
      <vt:variant>
        <vt:i4>1507381</vt:i4>
      </vt:variant>
      <vt:variant>
        <vt:i4>308</vt:i4>
      </vt:variant>
      <vt:variant>
        <vt:i4>0</vt:i4>
      </vt:variant>
      <vt:variant>
        <vt:i4>5</vt:i4>
      </vt:variant>
      <vt:variant>
        <vt:lpwstr/>
      </vt:variant>
      <vt:variant>
        <vt:lpwstr>_Toc439317970</vt:lpwstr>
      </vt:variant>
      <vt:variant>
        <vt:i4>1441845</vt:i4>
      </vt:variant>
      <vt:variant>
        <vt:i4>302</vt:i4>
      </vt:variant>
      <vt:variant>
        <vt:i4>0</vt:i4>
      </vt:variant>
      <vt:variant>
        <vt:i4>5</vt:i4>
      </vt:variant>
      <vt:variant>
        <vt:lpwstr/>
      </vt:variant>
      <vt:variant>
        <vt:lpwstr>_Toc439317969</vt:lpwstr>
      </vt:variant>
      <vt:variant>
        <vt:i4>1441845</vt:i4>
      </vt:variant>
      <vt:variant>
        <vt:i4>296</vt:i4>
      </vt:variant>
      <vt:variant>
        <vt:i4>0</vt:i4>
      </vt:variant>
      <vt:variant>
        <vt:i4>5</vt:i4>
      </vt:variant>
      <vt:variant>
        <vt:lpwstr/>
      </vt:variant>
      <vt:variant>
        <vt:lpwstr>_Toc439317968</vt:lpwstr>
      </vt:variant>
      <vt:variant>
        <vt:i4>1441845</vt:i4>
      </vt:variant>
      <vt:variant>
        <vt:i4>290</vt:i4>
      </vt:variant>
      <vt:variant>
        <vt:i4>0</vt:i4>
      </vt:variant>
      <vt:variant>
        <vt:i4>5</vt:i4>
      </vt:variant>
      <vt:variant>
        <vt:lpwstr/>
      </vt:variant>
      <vt:variant>
        <vt:lpwstr>_Toc439317967</vt:lpwstr>
      </vt:variant>
      <vt:variant>
        <vt:i4>1441845</vt:i4>
      </vt:variant>
      <vt:variant>
        <vt:i4>284</vt:i4>
      </vt:variant>
      <vt:variant>
        <vt:i4>0</vt:i4>
      </vt:variant>
      <vt:variant>
        <vt:i4>5</vt:i4>
      </vt:variant>
      <vt:variant>
        <vt:lpwstr/>
      </vt:variant>
      <vt:variant>
        <vt:lpwstr>_Toc439317966</vt:lpwstr>
      </vt:variant>
      <vt:variant>
        <vt:i4>1441845</vt:i4>
      </vt:variant>
      <vt:variant>
        <vt:i4>278</vt:i4>
      </vt:variant>
      <vt:variant>
        <vt:i4>0</vt:i4>
      </vt:variant>
      <vt:variant>
        <vt:i4>5</vt:i4>
      </vt:variant>
      <vt:variant>
        <vt:lpwstr/>
      </vt:variant>
      <vt:variant>
        <vt:lpwstr>_Toc439317965</vt:lpwstr>
      </vt:variant>
      <vt:variant>
        <vt:i4>1441845</vt:i4>
      </vt:variant>
      <vt:variant>
        <vt:i4>272</vt:i4>
      </vt:variant>
      <vt:variant>
        <vt:i4>0</vt:i4>
      </vt:variant>
      <vt:variant>
        <vt:i4>5</vt:i4>
      </vt:variant>
      <vt:variant>
        <vt:lpwstr/>
      </vt:variant>
      <vt:variant>
        <vt:lpwstr>_Toc439317964</vt:lpwstr>
      </vt:variant>
      <vt:variant>
        <vt:i4>1441845</vt:i4>
      </vt:variant>
      <vt:variant>
        <vt:i4>266</vt:i4>
      </vt:variant>
      <vt:variant>
        <vt:i4>0</vt:i4>
      </vt:variant>
      <vt:variant>
        <vt:i4>5</vt:i4>
      </vt:variant>
      <vt:variant>
        <vt:lpwstr/>
      </vt:variant>
      <vt:variant>
        <vt:lpwstr>_Toc439317963</vt:lpwstr>
      </vt:variant>
      <vt:variant>
        <vt:i4>1441845</vt:i4>
      </vt:variant>
      <vt:variant>
        <vt:i4>260</vt:i4>
      </vt:variant>
      <vt:variant>
        <vt:i4>0</vt:i4>
      </vt:variant>
      <vt:variant>
        <vt:i4>5</vt:i4>
      </vt:variant>
      <vt:variant>
        <vt:lpwstr/>
      </vt:variant>
      <vt:variant>
        <vt:lpwstr>_Toc439317962</vt:lpwstr>
      </vt:variant>
      <vt:variant>
        <vt:i4>1441845</vt:i4>
      </vt:variant>
      <vt:variant>
        <vt:i4>254</vt:i4>
      </vt:variant>
      <vt:variant>
        <vt:i4>0</vt:i4>
      </vt:variant>
      <vt:variant>
        <vt:i4>5</vt:i4>
      </vt:variant>
      <vt:variant>
        <vt:lpwstr/>
      </vt:variant>
      <vt:variant>
        <vt:lpwstr>_Toc439317961</vt:lpwstr>
      </vt:variant>
      <vt:variant>
        <vt:i4>1441845</vt:i4>
      </vt:variant>
      <vt:variant>
        <vt:i4>248</vt:i4>
      </vt:variant>
      <vt:variant>
        <vt:i4>0</vt:i4>
      </vt:variant>
      <vt:variant>
        <vt:i4>5</vt:i4>
      </vt:variant>
      <vt:variant>
        <vt:lpwstr/>
      </vt:variant>
      <vt:variant>
        <vt:lpwstr>_Toc439317960</vt:lpwstr>
      </vt:variant>
      <vt:variant>
        <vt:i4>1376309</vt:i4>
      </vt:variant>
      <vt:variant>
        <vt:i4>242</vt:i4>
      </vt:variant>
      <vt:variant>
        <vt:i4>0</vt:i4>
      </vt:variant>
      <vt:variant>
        <vt:i4>5</vt:i4>
      </vt:variant>
      <vt:variant>
        <vt:lpwstr/>
      </vt:variant>
      <vt:variant>
        <vt:lpwstr>_Toc439317959</vt:lpwstr>
      </vt:variant>
      <vt:variant>
        <vt:i4>1376309</vt:i4>
      </vt:variant>
      <vt:variant>
        <vt:i4>236</vt:i4>
      </vt:variant>
      <vt:variant>
        <vt:i4>0</vt:i4>
      </vt:variant>
      <vt:variant>
        <vt:i4>5</vt:i4>
      </vt:variant>
      <vt:variant>
        <vt:lpwstr/>
      </vt:variant>
      <vt:variant>
        <vt:lpwstr>_Toc439317958</vt:lpwstr>
      </vt:variant>
      <vt:variant>
        <vt:i4>1376309</vt:i4>
      </vt:variant>
      <vt:variant>
        <vt:i4>230</vt:i4>
      </vt:variant>
      <vt:variant>
        <vt:i4>0</vt:i4>
      </vt:variant>
      <vt:variant>
        <vt:i4>5</vt:i4>
      </vt:variant>
      <vt:variant>
        <vt:lpwstr/>
      </vt:variant>
      <vt:variant>
        <vt:lpwstr>_Toc439317957</vt:lpwstr>
      </vt:variant>
      <vt:variant>
        <vt:i4>1376309</vt:i4>
      </vt:variant>
      <vt:variant>
        <vt:i4>224</vt:i4>
      </vt:variant>
      <vt:variant>
        <vt:i4>0</vt:i4>
      </vt:variant>
      <vt:variant>
        <vt:i4>5</vt:i4>
      </vt:variant>
      <vt:variant>
        <vt:lpwstr/>
      </vt:variant>
      <vt:variant>
        <vt:lpwstr>_Toc439317956</vt:lpwstr>
      </vt:variant>
      <vt:variant>
        <vt:i4>1376309</vt:i4>
      </vt:variant>
      <vt:variant>
        <vt:i4>218</vt:i4>
      </vt:variant>
      <vt:variant>
        <vt:i4>0</vt:i4>
      </vt:variant>
      <vt:variant>
        <vt:i4>5</vt:i4>
      </vt:variant>
      <vt:variant>
        <vt:lpwstr/>
      </vt:variant>
      <vt:variant>
        <vt:lpwstr>_Toc439317955</vt:lpwstr>
      </vt:variant>
      <vt:variant>
        <vt:i4>1376309</vt:i4>
      </vt:variant>
      <vt:variant>
        <vt:i4>212</vt:i4>
      </vt:variant>
      <vt:variant>
        <vt:i4>0</vt:i4>
      </vt:variant>
      <vt:variant>
        <vt:i4>5</vt:i4>
      </vt:variant>
      <vt:variant>
        <vt:lpwstr/>
      </vt:variant>
      <vt:variant>
        <vt:lpwstr>_Toc439317954</vt:lpwstr>
      </vt:variant>
      <vt:variant>
        <vt:i4>1376309</vt:i4>
      </vt:variant>
      <vt:variant>
        <vt:i4>206</vt:i4>
      </vt:variant>
      <vt:variant>
        <vt:i4>0</vt:i4>
      </vt:variant>
      <vt:variant>
        <vt:i4>5</vt:i4>
      </vt:variant>
      <vt:variant>
        <vt:lpwstr/>
      </vt:variant>
      <vt:variant>
        <vt:lpwstr>_Toc439317953</vt:lpwstr>
      </vt:variant>
      <vt:variant>
        <vt:i4>1376309</vt:i4>
      </vt:variant>
      <vt:variant>
        <vt:i4>200</vt:i4>
      </vt:variant>
      <vt:variant>
        <vt:i4>0</vt:i4>
      </vt:variant>
      <vt:variant>
        <vt:i4>5</vt:i4>
      </vt:variant>
      <vt:variant>
        <vt:lpwstr/>
      </vt:variant>
      <vt:variant>
        <vt:lpwstr>_Toc439317952</vt:lpwstr>
      </vt:variant>
      <vt:variant>
        <vt:i4>1376309</vt:i4>
      </vt:variant>
      <vt:variant>
        <vt:i4>194</vt:i4>
      </vt:variant>
      <vt:variant>
        <vt:i4>0</vt:i4>
      </vt:variant>
      <vt:variant>
        <vt:i4>5</vt:i4>
      </vt:variant>
      <vt:variant>
        <vt:lpwstr/>
      </vt:variant>
      <vt:variant>
        <vt:lpwstr>_Toc439317951</vt:lpwstr>
      </vt:variant>
      <vt:variant>
        <vt:i4>1376309</vt:i4>
      </vt:variant>
      <vt:variant>
        <vt:i4>188</vt:i4>
      </vt:variant>
      <vt:variant>
        <vt:i4>0</vt:i4>
      </vt:variant>
      <vt:variant>
        <vt:i4>5</vt:i4>
      </vt:variant>
      <vt:variant>
        <vt:lpwstr/>
      </vt:variant>
      <vt:variant>
        <vt:lpwstr>_Toc439317950</vt:lpwstr>
      </vt:variant>
      <vt:variant>
        <vt:i4>1310773</vt:i4>
      </vt:variant>
      <vt:variant>
        <vt:i4>182</vt:i4>
      </vt:variant>
      <vt:variant>
        <vt:i4>0</vt:i4>
      </vt:variant>
      <vt:variant>
        <vt:i4>5</vt:i4>
      </vt:variant>
      <vt:variant>
        <vt:lpwstr/>
      </vt:variant>
      <vt:variant>
        <vt:lpwstr>_Toc439317949</vt:lpwstr>
      </vt:variant>
      <vt:variant>
        <vt:i4>1310773</vt:i4>
      </vt:variant>
      <vt:variant>
        <vt:i4>176</vt:i4>
      </vt:variant>
      <vt:variant>
        <vt:i4>0</vt:i4>
      </vt:variant>
      <vt:variant>
        <vt:i4>5</vt:i4>
      </vt:variant>
      <vt:variant>
        <vt:lpwstr/>
      </vt:variant>
      <vt:variant>
        <vt:lpwstr>_Toc439317948</vt:lpwstr>
      </vt:variant>
      <vt:variant>
        <vt:i4>1310773</vt:i4>
      </vt:variant>
      <vt:variant>
        <vt:i4>170</vt:i4>
      </vt:variant>
      <vt:variant>
        <vt:i4>0</vt:i4>
      </vt:variant>
      <vt:variant>
        <vt:i4>5</vt:i4>
      </vt:variant>
      <vt:variant>
        <vt:lpwstr/>
      </vt:variant>
      <vt:variant>
        <vt:lpwstr>_Toc439317947</vt:lpwstr>
      </vt:variant>
      <vt:variant>
        <vt:i4>1310773</vt:i4>
      </vt:variant>
      <vt:variant>
        <vt:i4>164</vt:i4>
      </vt:variant>
      <vt:variant>
        <vt:i4>0</vt:i4>
      </vt:variant>
      <vt:variant>
        <vt:i4>5</vt:i4>
      </vt:variant>
      <vt:variant>
        <vt:lpwstr/>
      </vt:variant>
      <vt:variant>
        <vt:lpwstr>_Toc439317946</vt:lpwstr>
      </vt:variant>
      <vt:variant>
        <vt:i4>1310773</vt:i4>
      </vt:variant>
      <vt:variant>
        <vt:i4>158</vt:i4>
      </vt:variant>
      <vt:variant>
        <vt:i4>0</vt:i4>
      </vt:variant>
      <vt:variant>
        <vt:i4>5</vt:i4>
      </vt:variant>
      <vt:variant>
        <vt:lpwstr/>
      </vt:variant>
      <vt:variant>
        <vt:lpwstr>_Toc439317945</vt:lpwstr>
      </vt:variant>
      <vt:variant>
        <vt:i4>1310773</vt:i4>
      </vt:variant>
      <vt:variant>
        <vt:i4>152</vt:i4>
      </vt:variant>
      <vt:variant>
        <vt:i4>0</vt:i4>
      </vt:variant>
      <vt:variant>
        <vt:i4>5</vt:i4>
      </vt:variant>
      <vt:variant>
        <vt:lpwstr/>
      </vt:variant>
      <vt:variant>
        <vt:lpwstr>_Toc439317944</vt:lpwstr>
      </vt:variant>
      <vt:variant>
        <vt:i4>1310773</vt:i4>
      </vt:variant>
      <vt:variant>
        <vt:i4>146</vt:i4>
      </vt:variant>
      <vt:variant>
        <vt:i4>0</vt:i4>
      </vt:variant>
      <vt:variant>
        <vt:i4>5</vt:i4>
      </vt:variant>
      <vt:variant>
        <vt:lpwstr/>
      </vt:variant>
      <vt:variant>
        <vt:lpwstr>_Toc439317943</vt:lpwstr>
      </vt:variant>
      <vt:variant>
        <vt:i4>1310773</vt:i4>
      </vt:variant>
      <vt:variant>
        <vt:i4>140</vt:i4>
      </vt:variant>
      <vt:variant>
        <vt:i4>0</vt:i4>
      </vt:variant>
      <vt:variant>
        <vt:i4>5</vt:i4>
      </vt:variant>
      <vt:variant>
        <vt:lpwstr/>
      </vt:variant>
      <vt:variant>
        <vt:lpwstr>_Toc439317942</vt:lpwstr>
      </vt:variant>
      <vt:variant>
        <vt:i4>1310773</vt:i4>
      </vt:variant>
      <vt:variant>
        <vt:i4>134</vt:i4>
      </vt:variant>
      <vt:variant>
        <vt:i4>0</vt:i4>
      </vt:variant>
      <vt:variant>
        <vt:i4>5</vt:i4>
      </vt:variant>
      <vt:variant>
        <vt:lpwstr/>
      </vt:variant>
      <vt:variant>
        <vt:lpwstr>_Toc439317941</vt:lpwstr>
      </vt:variant>
      <vt:variant>
        <vt:i4>1310773</vt:i4>
      </vt:variant>
      <vt:variant>
        <vt:i4>128</vt:i4>
      </vt:variant>
      <vt:variant>
        <vt:i4>0</vt:i4>
      </vt:variant>
      <vt:variant>
        <vt:i4>5</vt:i4>
      </vt:variant>
      <vt:variant>
        <vt:lpwstr/>
      </vt:variant>
      <vt:variant>
        <vt:lpwstr>_Toc439317940</vt:lpwstr>
      </vt:variant>
      <vt:variant>
        <vt:i4>1245237</vt:i4>
      </vt:variant>
      <vt:variant>
        <vt:i4>122</vt:i4>
      </vt:variant>
      <vt:variant>
        <vt:i4>0</vt:i4>
      </vt:variant>
      <vt:variant>
        <vt:i4>5</vt:i4>
      </vt:variant>
      <vt:variant>
        <vt:lpwstr/>
      </vt:variant>
      <vt:variant>
        <vt:lpwstr>_Toc439317939</vt:lpwstr>
      </vt:variant>
      <vt:variant>
        <vt:i4>1245237</vt:i4>
      </vt:variant>
      <vt:variant>
        <vt:i4>116</vt:i4>
      </vt:variant>
      <vt:variant>
        <vt:i4>0</vt:i4>
      </vt:variant>
      <vt:variant>
        <vt:i4>5</vt:i4>
      </vt:variant>
      <vt:variant>
        <vt:lpwstr/>
      </vt:variant>
      <vt:variant>
        <vt:lpwstr>_Toc439317938</vt:lpwstr>
      </vt:variant>
      <vt:variant>
        <vt:i4>1245237</vt:i4>
      </vt:variant>
      <vt:variant>
        <vt:i4>110</vt:i4>
      </vt:variant>
      <vt:variant>
        <vt:i4>0</vt:i4>
      </vt:variant>
      <vt:variant>
        <vt:i4>5</vt:i4>
      </vt:variant>
      <vt:variant>
        <vt:lpwstr/>
      </vt:variant>
      <vt:variant>
        <vt:lpwstr>_Toc439317937</vt:lpwstr>
      </vt:variant>
      <vt:variant>
        <vt:i4>1245237</vt:i4>
      </vt:variant>
      <vt:variant>
        <vt:i4>104</vt:i4>
      </vt:variant>
      <vt:variant>
        <vt:i4>0</vt:i4>
      </vt:variant>
      <vt:variant>
        <vt:i4>5</vt:i4>
      </vt:variant>
      <vt:variant>
        <vt:lpwstr/>
      </vt:variant>
      <vt:variant>
        <vt:lpwstr>_Toc439317936</vt:lpwstr>
      </vt:variant>
      <vt:variant>
        <vt:i4>1245237</vt:i4>
      </vt:variant>
      <vt:variant>
        <vt:i4>98</vt:i4>
      </vt:variant>
      <vt:variant>
        <vt:i4>0</vt:i4>
      </vt:variant>
      <vt:variant>
        <vt:i4>5</vt:i4>
      </vt:variant>
      <vt:variant>
        <vt:lpwstr/>
      </vt:variant>
      <vt:variant>
        <vt:lpwstr>_Toc439317935</vt:lpwstr>
      </vt:variant>
      <vt:variant>
        <vt:i4>1245237</vt:i4>
      </vt:variant>
      <vt:variant>
        <vt:i4>92</vt:i4>
      </vt:variant>
      <vt:variant>
        <vt:i4>0</vt:i4>
      </vt:variant>
      <vt:variant>
        <vt:i4>5</vt:i4>
      </vt:variant>
      <vt:variant>
        <vt:lpwstr/>
      </vt:variant>
      <vt:variant>
        <vt:lpwstr>_Toc439317934</vt:lpwstr>
      </vt:variant>
      <vt:variant>
        <vt:i4>1245237</vt:i4>
      </vt:variant>
      <vt:variant>
        <vt:i4>86</vt:i4>
      </vt:variant>
      <vt:variant>
        <vt:i4>0</vt:i4>
      </vt:variant>
      <vt:variant>
        <vt:i4>5</vt:i4>
      </vt:variant>
      <vt:variant>
        <vt:lpwstr/>
      </vt:variant>
      <vt:variant>
        <vt:lpwstr>_Toc439317933</vt:lpwstr>
      </vt:variant>
      <vt:variant>
        <vt:i4>1245237</vt:i4>
      </vt:variant>
      <vt:variant>
        <vt:i4>80</vt:i4>
      </vt:variant>
      <vt:variant>
        <vt:i4>0</vt:i4>
      </vt:variant>
      <vt:variant>
        <vt:i4>5</vt:i4>
      </vt:variant>
      <vt:variant>
        <vt:lpwstr/>
      </vt:variant>
      <vt:variant>
        <vt:lpwstr>_Toc439317932</vt:lpwstr>
      </vt:variant>
      <vt:variant>
        <vt:i4>1245237</vt:i4>
      </vt:variant>
      <vt:variant>
        <vt:i4>74</vt:i4>
      </vt:variant>
      <vt:variant>
        <vt:i4>0</vt:i4>
      </vt:variant>
      <vt:variant>
        <vt:i4>5</vt:i4>
      </vt:variant>
      <vt:variant>
        <vt:lpwstr/>
      </vt:variant>
      <vt:variant>
        <vt:lpwstr>_Toc439317931</vt:lpwstr>
      </vt:variant>
      <vt:variant>
        <vt:i4>1245237</vt:i4>
      </vt:variant>
      <vt:variant>
        <vt:i4>68</vt:i4>
      </vt:variant>
      <vt:variant>
        <vt:i4>0</vt:i4>
      </vt:variant>
      <vt:variant>
        <vt:i4>5</vt:i4>
      </vt:variant>
      <vt:variant>
        <vt:lpwstr/>
      </vt:variant>
      <vt:variant>
        <vt:lpwstr>_Toc439317930</vt:lpwstr>
      </vt:variant>
      <vt:variant>
        <vt:i4>1179701</vt:i4>
      </vt:variant>
      <vt:variant>
        <vt:i4>62</vt:i4>
      </vt:variant>
      <vt:variant>
        <vt:i4>0</vt:i4>
      </vt:variant>
      <vt:variant>
        <vt:i4>5</vt:i4>
      </vt:variant>
      <vt:variant>
        <vt:lpwstr/>
      </vt:variant>
      <vt:variant>
        <vt:lpwstr>_Toc439317929</vt:lpwstr>
      </vt:variant>
      <vt:variant>
        <vt:i4>1179701</vt:i4>
      </vt:variant>
      <vt:variant>
        <vt:i4>56</vt:i4>
      </vt:variant>
      <vt:variant>
        <vt:i4>0</vt:i4>
      </vt:variant>
      <vt:variant>
        <vt:i4>5</vt:i4>
      </vt:variant>
      <vt:variant>
        <vt:lpwstr/>
      </vt:variant>
      <vt:variant>
        <vt:lpwstr>_Toc439317928</vt:lpwstr>
      </vt:variant>
      <vt:variant>
        <vt:i4>1179701</vt:i4>
      </vt:variant>
      <vt:variant>
        <vt:i4>50</vt:i4>
      </vt:variant>
      <vt:variant>
        <vt:i4>0</vt:i4>
      </vt:variant>
      <vt:variant>
        <vt:i4>5</vt:i4>
      </vt:variant>
      <vt:variant>
        <vt:lpwstr/>
      </vt:variant>
      <vt:variant>
        <vt:lpwstr>_Toc439317927</vt:lpwstr>
      </vt:variant>
      <vt:variant>
        <vt:i4>1179701</vt:i4>
      </vt:variant>
      <vt:variant>
        <vt:i4>44</vt:i4>
      </vt:variant>
      <vt:variant>
        <vt:i4>0</vt:i4>
      </vt:variant>
      <vt:variant>
        <vt:i4>5</vt:i4>
      </vt:variant>
      <vt:variant>
        <vt:lpwstr/>
      </vt:variant>
      <vt:variant>
        <vt:lpwstr>_Toc439317926</vt:lpwstr>
      </vt:variant>
      <vt:variant>
        <vt:i4>1179701</vt:i4>
      </vt:variant>
      <vt:variant>
        <vt:i4>38</vt:i4>
      </vt:variant>
      <vt:variant>
        <vt:i4>0</vt:i4>
      </vt:variant>
      <vt:variant>
        <vt:i4>5</vt:i4>
      </vt:variant>
      <vt:variant>
        <vt:lpwstr/>
      </vt:variant>
      <vt:variant>
        <vt:lpwstr>_Toc439317925</vt:lpwstr>
      </vt:variant>
      <vt:variant>
        <vt:i4>1179701</vt:i4>
      </vt:variant>
      <vt:variant>
        <vt:i4>32</vt:i4>
      </vt:variant>
      <vt:variant>
        <vt:i4>0</vt:i4>
      </vt:variant>
      <vt:variant>
        <vt:i4>5</vt:i4>
      </vt:variant>
      <vt:variant>
        <vt:lpwstr/>
      </vt:variant>
      <vt:variant>
        <vt:lpwstr>_Toc439317924</vt:lpwstr>
      </vt:variant>
      <vt:variant>
        <vt:i4>1179701</vt:i4>
      </vt:variant>
      <vt:variant>
        <vt:i4>26</vt:i4>
      </vt:variant>
      <vt:variant>
        <vt:i4>0</vt:i4>
      </vt:variant>
      <vt:variant>
        <vt:i4>5</vt:i4>
      </vt:variant>
      <vt:variant>
        <vt:lpwstr/>
      </vt:variant>
      <vt:variant>
        <vt:lpwstr>_Toc439317923</vt:lpwstr>
      </vt:variant>
      <vt:variant>
        <vt:i4>1179701</vt:i4>
      </vt:variant>
      <vt:variant>
        <vt:i4>20</vt:i4>
      </vt:variant>
      <vt:variant>
        <vt:i4>0</vt:i4>
      </vt:variant>
      <vt:variant>
        <vt:i4>5</vt:i4>
      </vt:variant>
      <vt:variant>
        <vt:lpwstr/>
      </vt:variant>
      <vt:variant>
        <vt:lpwstr>_Toc439317922</vt:lpwstr>
      </vt:variant>
      <vt:variant>
        <vt:i4>1179701</vt:i4>
      </vt:variant>
      <vt:variant>
        <vt:i4>14</vt:i4>
      </vt:variant>
      <vt:variant>
        <vt:i4>0</vt:i4>
      </vt:variant>
      <vt:variant>
        <vt:i4>5</vt:i4>
      </vt:variant>
      <vt:variant>
        <vt:lpwstr/>
      </vt:variant>
      <vt:variant>
        <vt:lpwstr>_Toc439317921</vt:lpwstr>
      </vt:variant>
      <vt:variant>
        <vt:i4>1179701</vt:i4>
      </vt:variant>
      <vt:variant>
        <vt:i4>8</vt:i4>
      </vt:variant>
      <vt:variant>
        <vt:i4>0</vt:i4>
      </vt:variant>
      <vt:variant>
        <vt:i4>5</vt:i4>
      </vt:variant>
      <vt:variant>
        <vt:lpwstr/>
      </vt:variant>
      <vt:variant>
        <vt:lpwstr>_Toc439317920</vt:lpwstr>
      </vt:variant>
      <vt:variant>
        <vt:i4>1114165</vt:i4>
      </vt:variant>
      <vt:variant>
        <vt:i4>2</vt:i4>
      </vt:variant>
      <vt:variant>
        <vt:i4>0</vt:i4>
      </vt:variant>
      <vt:variant>
        <vt:i4>5</vt:i4>
      </vt:variant>
      <vt:variant>
        <vt:lpwstr/>
      </vt:variant>
      <vt:variant>
        <vt:lpwstr>_Toc439317919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at Work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Mrs Frizzell</cp:lastModifiedBy>
  <cp:revision>3</cp:revision>
  <cp:lastPrinted>2016-06-07T08:44:00Z</cp:lastPrinted>
  <dcterms:created xsi:type="dcterms:W3CDTF">2020-09-28T11:20:00Z</dcterms:created>
  <dcterms:modified xsi:type="dcterms:W3CDTF">2024-03-21T13:20:00Z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y fmtid="{D5CDD505-2E9C-101B-9397-08002B2CF9AE}" pid="3" name="Types of Documents">
    <vt:lpwstr/>
  </property>
  <property fmtid="{D5CDD505-2E9C-101B-9397-08002B2CF9AE}" pid="4" name="Categories0">
    <vt:lpwstr/>
  </property>
  <property fmtid="{D5CDD505-2E9C-101B-9397-08002B2CF9AE}" pid="5" name="Status">
    <vt:lpwstr/>
  </property>
</Properties>
</file>